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8" w:lineRule="exact"/>
        <w:rPr>
          <w:rFonts w:ascii="Times New Roman" w:hAnsi="Times New Roman" w:eastAsia="方正小标宋_GBK" w:cs="Times New Roman"/>
          <w:bCs/>
          <w:snapToGrid w:val="0"/>
          <w:spacing w:val="-20"/>
          <w:kern w:val="0"/>
          <w:sz w:val="36"/>
          <w:szCs w:val="40"/>
        </w:rPr>
      </w:pPr>
    </w:p>
    <w:p>
      <w:pPr>
        <w:pStyle w:val="2"/>
      </w:pPr>
    </w:p>
    <w:p>
      <w:pPr>
        <w:adjustRightInd w:val="0"/>
        <w:snapToGrid w:val="0"/>
        <w:spacing w:line="588" w:lineRule="exact"/>
        <w:jc w:val="center"/>
        <w:rPr>
          <w:rFonts w:ascii="黑体" w:hAnsi="黑体" w:eastAsia="黑体" w:cs="Times New Roman"/>
          <w:bCs/>
          <w:snapToGrid w:val="0"/>
          <w:spacing w:val="-20"/>
          <w:kern w:val="0"/>
          <w:sz w:val="56"/>
          <w:szCs w:val="56"/>
        </w:rPr>
      </w:pPr>
      <w:r>
        <w:rPr>
          <w:rFonts w:hint="eastAsia" w:ascii="黑体" w:hAnsi="黑体" w:eastAsia="黑体" w:cs="Times New Roman"/>
          <w:bCs/>
          <w:snapToGrid w:val="0"/>
          <w:spacing w:val="-20"/>
          <w:kern w:val="0"/>
          <w:sz w:val="56"/>
          <w:szCs w:val="56"/>
        </w:rPr>
        <w:t>泰州市“十四五”旅游业发展规划</w:t>
      </w:r>
    </w:p>
    <w:p>
      <w:pPr>
        <w:adjustRightInd w:val="0"/>
        <w:snapToGrid w:val="0"/>
        <w:spacing w:line="588" w:lineRule="exact"/>
        <w:ind w:firstLine="964"/>
        <w:jc w:val="center"/>
        <w:rPr>
          <w:rFonts w:ascii="Times New Roman" w:hAnsi="Times New Roman" w:eastAsia="方正小标宋_GBK" w:cs="Times New Roman"/>
          <w:bCs/>
          <w:snapToGrid w:val="0"/>
          <w:spacing w:val="-20"/>
          <w:kern w:val="0"/>
          <w:sz w:val="52"/>
          <w:szCs w:val="52"/>
        </w:rPr>
      </w:pPr>
    </w:p>
    <w:p>
      <w:pPr>
        <w:adjustRightInd w:val="0"/>
        <w:snapToGrid w:val="0"/>
        <w:spacing w:line="588" w:lineRule="exact"/>
        <w:ind w:firstLine="964"/>
        <w:jc w:val="center"/>
        <w:rPr>
          <w:rFonts w:ascii="Times New Roman" w:hAnsi="Times New Roman" w:eastAsia="方正小标宋_GBK" w:cs="Times New Roman"/>
          <w:bCs/>
          <w:snapToGrid w:val="0"/>
          <w:spacing w:val="-20"/>
          <w:kern w:val="0"/>
          <w:sz w:val="52"/>
          <w:szCs w:val="52"/>
        </w:rPr>
      </w:pPr>
    </w:p>
    <w:p>
      <w:pPr>
        <w:pStyle w:val="2"/>
        <w:rPr>
          <w:rFonts w:ascii="Times New Roman" w:hAnsi="Times New Roman" w:eastAsia="方正小标宋_GBK" w:cs="Times New Roman"/>
          <w:bCs/>
          <w:snapToGrid w:val="0"/>
          <w:spacing w:val="-20"/>
          <w:kern w:val="0"/>
          <w:sz w:val="52"/>
          <w:szCs w:val="52"/>
        </w:rPr>
      </w:pPr>
    </w:p>
    <w:p>
      <w:pPr>
        <w:pStyle w:val="4"/>
      </w:pPr>
    </w:p>
    <w:p>
      <w:pPr>
        <w:pStyle w:val="2"/>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
      <w:pPr>
        <w:pStyle w:val="2"/>
      </w:pPr>
    </w:p>
    <w:p>
      <w:pPr>
        <w:pStyle w:val="4"/>
        <w:ind w:firstLine="210"/>
      </w:pPr>
    </w:p>
    <w:p>
      <w:pPr>
        <w:pStyle w:val="4"/>
        <w:ind w:firstLine="210"/>
      </w:pPr>
    </w:p>
    <w:p>
      <w:pPr>
        <w:pStyle w:val="4"/>
        <w:ind w:firstLine="210"/>
      </w:pPr>
    </w:p>
    <w:p>
      <w:pPr>
        <w:pStyle w:val="4"/>
        <w:ind w:firstLine="210"/>
      </w:pPr>
    </w:p>
    <w:p>
      <w:pPr>
        <w:pStyle w:val="9"/>
        <w:numPr>
          <w:ilvl w:val="0"/>
          <w:numId w:val="0"/>
        </w:numPr>
      </w:pPr>
    </w:p>
    <w:p>
      <w:pPr>
        <w:pStyle w:val="5"/>
      </w:pPr>
    </w:p>
    <w:p>
      <w:pPr>
        <w:pStyle w:val="5"/>
      </w:pPr>
    </w:p>
    <w:p>
      <w:pPr>
        <w:pStyle w:val="5"/>
      </w:pPr>
    </w:p>
    <w:p>
      <w:pPr>
        <w:adjustRightInd w:val="0"/>
        <w:snapToGrid w:val="0"/>
        <w:spacing w:line="588" w:lineRule="exact"/>
        <w:jc w:val="center"/>
        <w:rPr>
          <w:rFonts w:ascii="黑体" w:hAnsi="黑体" w:eastAsia="黑体" w:cs="Times New Roman"/>
          <w:bCs/>
          <w:snapToGrid w:val="0"/>
          <w:spacing w:val="-20"/>
          <w:kern w:val="0"/>
          <w:sz w:val="56"/>
          <w:szCs w:val="56"/>
        </w:rPr>
      </w:pPr>
      <w:r>
        <w:rPr>
          <w:rFonts w:hint="eastAsia" w:ascii="黑体" w:hAnsi="黑体" w:eastAsia="黑体" w:cs="Times New Roman"/>
          <w:bCs/>
          <w:snapToGrid w:val="0"/>
          <w:spacing w:val="-20"/>
          <w:kern w:val="0"/>
          <w:sz w:val="44"/>
          <w:szCs w:val="44"/>
        </w:rPr>
        <w:t>泰州市文化广电和旅游局</w:t>
      </w:r>
    </w:p>
    <w:p>
      <w:pPr>
        <w:pStyle w:val="2"/>
      </w:pPr>
    </w:p>
    <w:p>
      <w:pPr>
        <w:adjustRightInd w:val="0"/>
        <w:snapToGrid w:val="0"/>
        <w:spacing w:line="588" w:lineRule="exact"/>
        <w:jc w:val="center"/>
        <w:rPr>
          <w:rFonts w:ascii="楷体" w:hAnsi="楷体" w:eastAsia="楷体" w:cs="Times New Roman"/>
          <w:bCs/>
          <w:snapToGrid w:val="0"/>
          <w:kern w:val="0"/>
          <w:sz w:val="36"/>
          <w:szCs w:val="36"/>
        </w:rPr>
      </w:pPr>
      <w:r>
        <w:rPr>
          <w:rFonts w:hint="eastAsia" w:ascii="楷体" w:hAnsi="楷体" w:eastAsia="楷体" w:cs="Times New Roman"/>
          <w:bCs/>
          <w:snapToGrid w:val="0"/>
          <w:kern w:val="0"/>
          <w:sz w:val="36"/>
          <w:szCs w:val="36"/>
        </w:rPr>
        <w:t>2021年</w:t>
      </w:r>
      <w:r>
        <w:rPr>
          <w:rFonts w:hint="eastAsia" w:ascii="楷体" w:hAnsi="楷体" w:eastAsia="楷体" w:cs="Times New Roman"/>
          <w:bCs/>
          <w:snapToGrid w:val="0"/>
          <w:kern w:val="0"/>
          <w:sz w:val="36"/>
          <w:szCs w:val="36"/>
          <w:lang w:val="en-US" w:eastAsia="zh-CN"/>
        </w:rPr>
        <w:t>9</w:t>
      </w:r>
      <w:bookmarkStart w:id="226" w:name="_GoBack"/>
      <w:bookmarkEnd w:id="226"/>
      <w:r>
        <w:rPr>
          <w:rFonts w:hint="eastAsia" w:ascii="楷体" w:hAnsi="楷体" w:eastAsia="楷体" w:cs="Times New Roman"/>
          <w:bCs/>
          <w:snapToGrid w:val="0"/>
          <w:kern w:val="0"/>
          <w:sz w:val="36"/>
          <w:szCs w:val="36"/>
        </w:rPr>
        <w:t>月</w:t>
      </w:r>
    </w:p>
    <w:p>
      <w:pPr>
        <w:adjustRightInd w:val="0"/>
        <w:snapToGrid w:val="0"/>
        <w:spacing w:line="590" w:lineRule="exact"/>
        <w:rPr>
          <w:rFonts w:ascii="Times New Roman" w:hAnsi="Times New Roman" w:eastAsia="方正黑体_GBK" w:cs="Times New Roman"/>
          <w:bCs/>
          <w:kern w:val="44"/>
          <w:sz w:val="44"/>
          <w:szCs w:val="44"/>
        </w:rPr>
      </w:pPr>
    </w:p>
    <w:p>
      <w:pPr>
        <w:pStyle w:val="4"/>
        <w:ind w:firstLine="210"/>
      </w:pPr>
    </w:p>
    <w:sdt>
      <w:sdtPr>
        <w:rPr>
          <w:lang w:val="zh-CN"/>
        </w:rPr>
        <w:id w:val="-84144889"/>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pPr>
            <w:pStyle w:val="45"/>
            <w:jc w:val="center"/>
            <w:rPr>
              <w:b/>
              <w:color w:val="000000" w:themeColor="text1"/>
              <w14:textFill>
                <w14:solidFill>
                  <w14:schemeClr w14:val="tx1"/>
                </w14:solidFill>
              </w14:textFill>
            </w:rPr>
          </w:pPr>
          <w:r>
            <w:rPr>
              <w:b/>
              <w:color w:val="000000" w:themeColor="text1"/>
              <w:lang w:val="zh-CN"/>
              <w14:textFill>
                <w14:solidFill>
                  <w14:schemeClr w14:val="tx1"/>
                </w14:solidFill>
              </w14:textFill>
            </w:rPr>
            <w:t>目</w:t>
          </w:r>
          <w:r>
            <w:rPr>
              <w:rFonts w:hint="eastAsia"/>
              <w:b/>
              <w:color w:val="000000" w:themeColor="text1"/>
              <w:lang w:val="zh-CN"/>
              <w14:textFill>
                <w14:solidFill>
                  <w14:schemeClr w14:val="tx1"/>
                </w14:solidFill>
              </w14:textFill>
            </w:rPr>
            <w:t xml:space="preserve"> </w:t>
          </w:r>
          <w:r>
            <w:rPr>
              <w:b/>
              <w:color w:val="000000" w:themeColor="text1"/>
              <w:lang w:val="zh-CN"/>
              <w14:textFill>
                <w14:solidFill>
                  <w14:schemeClr w14:val="tx1"/>
                </w14:solidFill>
              </w14:textFill>
            </w:rPr>
            <w:t>录</w:t>
          </w:r>
        </w:p>
        <w:p>
          <w:pPr>
            <w:pStyle w:val="16"/>
            <w:tabs>
              <w:tab w:val="right" w:leader="dot" w:pos="8290"/>
            </w:tabs>
            <w:spacing w:line="440" w:lineRule="exact"/>
            <w:rPr>
              <w:sz w:val="24"/>
              <w:szCs w:val="22"/>
            </w:rPr>
          </w:pPr>
          <w:r>
            <w:rPr>
              <w:sz w:val="24"/>
            </w:rPr>
            <w:fldChar w:fldCharType="begin"/>
          </w:r>
          <w:r>
            <w:rPr>
              <w:sz w:val="24"/>
            </w:rPr>
            <w:instrText xml:space="preserve"> TOC \o "1-3" \h \z \u </w:instrText>
          </w:r>
          <w:r>
            <w:rPr>
              <w:sz w:val="24"/>
            </w:rPr>
            <w:fldChar w:fldCharType="separate"/>
          </w:r>
          <w:r>
            <w:fldChar w:fldCharType="begin"/>
          </w:r>
          <w:r>
            <w:instrText xml:space="preserve"> HYPERLINK \l "_Toc85036102" </w:instrText>
          </w:r>
          <w:r>
            <w:fldChar w:fldCharType="separate"/>
          </w:r>
          <w:r>
            <w:rPr>
              <w:rStyle w:val="25"/>
              <w:rFonts w:ascii="Arial" w:hAnsi="Arial" w:eastAsia="黑体"/>
              <w:sz w:val="24"/>
            </w:rPr>
            <w:t>第一章 现实基础和发展背景</w:t>
          </w:r>
          <w:r>
            <w:rPr>
              <w:sz w:val="24"/>
            </w:rPr>
            <w:tab/>
          </w:r>
          <w:r>
            <w:rPr>
              <w:sz w:val="24"/>
            </w:rPr>
            <w:fldChar w:fldCharType="begin"/>
          </w:r>
          <w:r>
            <w:rPr>
              <w:sz w:val="24"/>
            </w:rPr>
            <w:instrText xml:space="preserve"> PAGEREF _Toc85036102 \h </w:instrText>
          </w:r>
          <w:r>
            <w:rPr>
              <w:sz w:val="24"/>
            </w:rPr>
            <w:fldChar w:fldCharType="separate"/>
          </w:r>
          <w:r>
            <w:rPr>
              <w:sz w:val="24"/>
            </w:rPr>
            <w:t>1</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"_Toc85036103" </w:instrText>
          </w:r>
          <w:r>
            <w:fldChar w:fldCharType="separate"/>
          </w:r>
          <w:r>
            <w:rPr>
              <w:rStyle w:val="25"/>
              <w:rFonts w:ascii="Times New Roman" w:hAnsi="Times New Roman" w:eastAsia="宋体" w:cs="Times New Roman"/>
              <w:sz w:val="24"/>
            </w:rPr>
            <w:t>一、泰州市“十三五”旅游业发展成效</w:t>
          </w:r>
          <w:r>
            <w:rPr>
              <w:sz w:val="24"/>
            </w:rPr>
            <w:tab/>
          </w:r>
          <w:r>
            <w:rPr>
              <w:sz w:val="24"/>
            </w:rPr>
            <w:fldChar w:fldCharType="begin"/>
          </w:r>
          <w:r>
            <w:rPr>
              <w:sz w:val="24"/>
            </w:rPr>
            <w:instrText xml:space="preserve"> PAGEREF _Toc85036103 \h </w:instrText>
          </w:r>
          <w:r>
            <w:rPr>
              <w:sz w:val="24"/>
            </w:rPr>
            <w:fldChar w:fldCharType="separate"/>
          </w:r>
          <w:r>
            <w:rPr>
              <w:sz w:val="24"/>
            </w:rPr>
            <w:t>1</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"_Toc85036104" </w:instrText>
          </w:r>
          <w:r>
            <w:fldChar w:fldCharType="separate"/>
          </w:r>
          <w:r>
            <w:rPr>
              <w:rStyle w:val="25"/>
              <w:rFonts w:ascii="Times New Roman" w:hAnsi="Times New Roman" w:eastAsia="宋体" w:cs="Times New Roman"/>
              <w:sz w:val="24"/>
            </w:rPr>
            <w:t>二、主要问题和不足</w:t>
          </w:r>
          <w:r>
            <w:rPr>
              <w:sz w:val="24"/>
            </w:rPr>
            <w:tab/>
          </w:r>
          <w:r>
            <w:rPr>
              <w:sz w:val="24"/>
            </w:rPr>
            <w:fldChar w:fldCharType="begin"/>
          </w:r>
          <w:r>
            <w:rPr>
              <w:sz w:val="24"/>
            </w:rPr>
            <w:instrText xml:space="preserve"> PAGEREF _Toc85036104 \h </w:instrText>
          </w:r>
          <w:r>
            <w:rPr>
              <w:sz w:val="24"/>
            </w:rPr>
            <w:fldChar w:fldCharType="separate"/>
          </w:r>
          <w:r>
            <w:rPr>
              <w:sz w:val="24"/>
            </w:rPr>
            <w:t>4</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"_Toc85036105" </w:instrText>
          </w:r>
          <w:r>
            <w:fldChar w:fldCharType="separate"/>
          </w:r>
          <w:r>
            <w:rPr>
              <w:rStyle w:val="25"/>
              <w:rFonts w:ascii="Times New Roman" w:hAnsi="Times New Roman" w:eastAsia="宋体" w:cs="Times New Roman"/>
              <w:sz w:val="24"/>
            </w:rPr>
            <w:t>三、发展形势</w:t>
          </w:r>
          <w:r>
            <w:rPr>
              <w:sz w:val="24"/>
            </w:rPr>
            <w:tab/>
          </w:r>
          <w:r>
            <w:rPr>
              <w:sz w:val="24"/>
            </w:rPr>
            <w:fldChar w:fldCharType="begin"/>
          </w:r>
          <w:r>
            <w:rPr>
              <w:sz w:val="24"/>
            </w:rPr>
            <w:instrText xml:space="preserve"> PAGEREF _Toc85036105 \h </w:instrText>
          </w:r>
          <w:r>
            <w:rPr>
              <w:sz w:val="24"/>
            </w:rPr>
            <w:fldChar w:fldCharType="separate"/>
          </w:r>
          <w:r>
            <w:rPr>
              <w:sz w:val="24"/>
            </w:rPr>
            <w:t>5</w:t>
          </w:r>
          <w:r>
            <w:rPr>
              <w:sz w:val="24"/>
            </w:rPr>
            <w:fldChar w:fldCharType="end"/>
          </w:r>
          <w:r>
            <w:rPr>
              <w:sz w:val="24"/>
            </w:rPr>
            <w:fldChar w:fldCharType="end"/>
          </w:r>
        </w:p>
        <w:p>
          <w:pPr>
            <w:pStyle w:val="16"/>
            <w:tabs>
              <w:tab w:val="right" w:leader="dot" w:pos="8290"/>
            </w:tabs>
            <w:spacing w:line="440" w:lineRule="exact"/>
            <w:rPr>
              <w:sz w:val="24"/>
              <w:szCs w:val="22"/>
            </w:rPr>
          </w:pPr>
          <w:r>
            <w:fldChar w:fldCharType="begin"/>
          </w:r>
          <w:r>
            <w:instrText xml:space="preserve"> HYPERLINK \l "_Toc85036106" </w:instrText>
          </w:r>
          <w:r>
            <w:fldChar w:fldCharType="separate"/>
          </w:r>
          <w:r>
            <w:rPr>
              <w:rStyle w:val="25"/>
              <w:rFonts w:ascii="Arial" w:hAnsi="Arial" w:eastAsia="黑体"/>
              <w:sz w:val="24"/>
            </w:rPr>
            <w:t>第二章  指导思想、规划原则与发展目标</w:t>
          </w:r>
          <w:r>
            <w:rPr>
              <w:sz w:val="24"/>
            </w:rPr>
            <w:tab/>
          </w:r>
          <w:r>
            <w:rPr>
              <w:sz w:val="24"/>
            </w:rPr>
            <w:fldChar w:fldCharType="begin"/>
          </w:r>
          <w:r>
            <w:rPr>
              <w:sz w:val="24"/>
            </w:rPr>
            <w:instrText xml:space="preserve"> PAGEREF _Toc85036106 \h </w:instrText>
          </w:r>
          <w:r>
            <w:rPr>
              <w:sz w:val="24"/>
            </w:rPr>
            <w:fldChar w:fldCharType="separate"/>
          </w:r>
          <w:r>
            <w:rPr>
              <w:sz w:val="24"/>
            </w:rPr>
            <w:t>7</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"_Toc85036107" </w:instrText>
          </w:r>
          <w:r>
            <w:fldChar w:fldCharType="separate"/>
          </w:r>
          <w:r>
            <w:rPr>
              <w:rStyle w:val="25"/>
              <w:rFonts w:ascii="Times New Roman" w:hAnsi="Times New Roman" w:eastAsia="宋体" w:cs="Times New Roman"/>
              <w:sz w:val="24"/>
            </w:rPr>
            <w:t>一、指导思想</w:t>
          </w:r>
          <w:r>
            <w:rPr>
              <w:sz w:val="24"/>
            </w:rPr>
            <w:tab/>
          </w:r>
          <w:r>
            <w:rPr>
              <w:sz w:val="24"/>
            </w:rPr>
            <w:fldChar w:fldCharType="begin"/>
          </w:r>
          <w:r>
            <w:rPr>
              <w:sz w:val="24"/>
            </w:rPr>
            <w:instrText xml:space="preserve"> PAGEREF _Toc85036107 \h </w:instrText>
          </w:r>
          <w:r>
            <w:rPr>
              <w:sz w:val="24"/>
            </w:rPr>
            <w:fldChar w:fldCharType="separate"/>
          </w:r>
          <w:r>
            <w:rPr>
              <w:sz w:val="24"/>
            </w:rPr>
            <w:t>7</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"_Toc85036108" </w:instrText>
          </w:r>
          <w:r>
            <w:fldChar w:fldCharType="separate"/>
          </w:r>
          <w:r>
            <w:rPr>
              <w:rStyle w:val="25"/>
              <w:rFonts w:ascii="Times New Roman" w:hAnsi="Times New Roman" w:eastAsia="宋体" w:cs="Times New Roman"/>
              <w:sz w:val="24"/>
            </w:rPr>
            <w:t>二、规划原则</w:t>
          </w:r>
          <w:r>
            <w:rPr>
              <w:sz w:val="24"/>
            </w:rPr>
            <w:tab/>
          </w:r>
          <w:r>
            <w:rPr>
              <w:sz w:val="24"/>
            </w:rPr>
            <w:fldChar w:fldCharType="begin"/>
          </w:r>
          <w:r>
            <w:rPr>
              <w:sz w:val="24"/>
            </w:rPr>
            <w:instrText xml:space="preserve"> PAGEREF _Toc85036108 \h </w:instrText>
          </w:r>
          <w:r>
            <w:rPr>
              <w:sz w:val="24"/>
            </w:rPr>
            <w:fldChar w:fldCharType="separate"/>
          </w:r>
          <w:r>
            <w:rPr>
              <w:sz w:val="24"/>
            </w:rPr>
            <w:t>8</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"_Toc85036109" </w:instrText>
          </w:r>
          <w:r>
            <w:fldChar w:fldCharType="separate"/>
          </w:r>
          <w:r>
            <w:rPr>
              <w:rStyle w:val="25"/>
              <w:rFonts w:ascii="Times New Roman" w:hAnsi="Times New Roman" w:eastAsia="宋体" w:cs="Times New Roman"/>
              <w:sz w:val="24"/>
            </w:rPr>
            <w:t>三、“十四五”发展主要目标和2035年远景目标</w:t>
          </w:r>
          <w:r>
            <w:rPr>
              <w:sz w:val="24"/>
            </w:rPr>
            <w:tab/>
          </w:r>
          <w:r>
            <w:rPr>
              <w:sz w:val="24"/>
            </w:rPr>
            <w:fldChar w:fldCharType="begin"/>
          </w:r>
          <w:r>
            <w:rPr>
              <w:sz w:val="24"/>
            </w:rPr>
            <w:instrText xml:space="preserve"> PAGEREF _Toc85036109 \h </w:instrText>
          </w:r>
          <w:r>
            <w:rPr>
              <w:sz w:val="24"/>
            </w:rPr>
            <w:fldChar w:fldCharType="separate"/>
          </w:r>
          <w:r>
            <w:rPr>
              <w:sz w:val="24"/>
            </w:rPr>
            <w:t>8</w:t>
          </w:r>
          <w:r>
            <w:rPr>
              <w:sz w:val="24"/>
            </w:rPr>
            <w:fldChar w:fldCharType="end"/>
          </w:r>
          <w:r>
            <w:rPr>
              <w:sz w:val="24"/>
            </w:rPr>
            <w:fldChar w:fldCharType="end"/>
          </w:r>
        </w:p>
        <w:p>
          <w:pPr>
            <w:pStyle w:val="16"/>
            <w:tabs>
              <w:tab w:val="right" w:leader="dot" w:pos="8290"/>
            </w:tabs>
            <w:spacing w:line="440" w:lineRule="exact"/>
            <w:rPr>
              <w:sz w:val="24"/>
              <w:szCs w:val="22"/>
            </w:rPr>
          </w:pPr>
          <w:r>
            <w:fldChar w:fldCharType="begin"/>
          </w:r>
          <w:r>
            <w:instrText xml:space="preserve"> HYPERLINK \l "_Toc85036110" </w:instrText>
          </w:r>
          <w:r>
            <w:fldChar w:fldCharType="separate"/>
          </w:r>
          <w:r>
            <w:rPr>
              <w:rStyle w:val="25"/>
              <w:rFonts w:ascii="Arial" w:hAnsi="Arial" w:eastAsia="黑体"/>
              <w:sz w:val="24"/>
            </w:rPr>
            <w:t>第三章  发展布局</w:t>
          </w:r>
          <w:r>
            <w:rPr>
              <w:sz w:val="24"/>
            </w:rPr>
            <w:tab/>
          </w:r>
          <w:r>
            <w:rPr>
              <w:sz w:val="24"/>
            </w:rPr>
            <w:fldChar w:fldCharType="begin"/>
          </w:r>
          <w:r>
            <w:rPr>
              <w:sz w:val="24"/>
            </w:rPr>
            <w:instrText xml:space="preserve"> PAGEREF _Toc85036110 \h </w:instrText>
          </w:r>
          <w:r>
            <w:rPr>
              <w:sz w:val="24"/>
            </w:rPr>
            <w:fldChar w:fldCharType="separate"/>
          </w:r>
          <w:r>
            <w:rPr>
              <w:sz w:val="24"/>
            </w:rPr>
            <w:t>11</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"_Toc85036111" </w:instrText>
          </w:r>
          <w:r>
            <w:fldChar w:fldCharType="separate"/>
          </w:r>
          <w:r>
            <w:rPr>
              <w:rStyle w:val="25"/>
              <w:rFonts w:ascii="Times New Roman" w:hAnsi="Times New Roman" w:eastAsia="宋体" w:cs="Times New Roman"/>
              <w:sz w:val="24"/>
            </w:rPr>
            <w:t>一、</w:t>
          </w:r>
          <w:r>
            <w:rPr>
              <w:rStyle w:val="25"/>
              <w:rFonts w:ascii="Times New Roman" w:hAnsi="Times New Roman" w:eastAsia="宋体" w:cs="Times New Roman"/>
              <w:sz w:val="24"/>
              <w:lang w:val="zh-TW"/>
            </w:rPr>
            <w:t>总体空间布局</w:t>
          </w:r>
          <w:r>
            <w:rPr>
              <w:sz w:val="24"/>
            </w:rPr>
            <w:tab/>
          </w:r>
          <w:r>
            <w:rPr>
              <w:sz w:val="24"/>
            </w:rPr>
            <w:fldChar w:fldCharType="begin"/>
          </w:r>
          <w:r>
            <w:rPr>
              <w:sz w:val="24"/>
            </w:rPr>
            <w:instrText xml:space="preserve"> PAGEREF _Toc85036111 \h </w:instrText>
          </w:r>
          <w:r>
            <w:rPr>
              <w:sz w:val="24"/>
            </w:rPr>
            <w:fldChar w:fldCharType="separate"/>
          </w:r>
          <w:r>
            <w:rPr>
              <w:sz w:val="24"/>
            </w:rPr>
            <w:t>11</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"_Toc85036112" </w:instrText>
          </w:r>
          <w:r>
            <w:fldChar w:fldCharType="separate"/>
          </w:r>
          <w:r>
            <w:rPr>
              <w:rStyle w:val="25"/>
              <w:rFonts w:ascii="Times New Roman" w:hAnsi="Times New Roman" w:eastAsia="宋体" w:cs="Times New Roman"/>
              <w:sz w:val="24"/>
            </w:rPr>
            <w:t>二、</w:t>
          </w:r>
          <w:r>
            <w:rPr>
              <w:rStyle w:val="25"/>
              <w:rFonts w:ascii="Times New Roman" w:hAnsi="Times New Roman" w:eastAsia="宋体" w:cs="Times New Roman"/>
              <w:sz w:val="24"/>
              <w:lang w:val="zh-TW"/>
            </w:rPr>
            <w:t>市（区）发展思路</w:t>
          </w:r>
          <w:r>
            <w:rPr>
              <w:sz w:val="24"/>
            </w:rPr>
            <w:tab/>
          </w:r>
          <w:r>
            <w:rPr>
              <w:sz w:val="24"/>
            </w:rPr>
            <w:fldChar w:fldCharType="begin"/>
          </w:r>
          <w:r>
            <w:rPr>
              <w:sz w:val="24"/>
            </w:rPr>
            <w:instrText xml:space="preserve"> PAGEREF _Toc85036112 \h </w:instrText>
          </w:r>
          <w:r>
            <w:rPr>
              <w:sz w:val="24"/>
            </w:rPr>
            <w:fldChar w:fldCharType="separate"/>
          </w:r>
          <w:r>
            <w:rPr>
              <w:sz w:val="24"/>
            </w:rPr>
            <w:t>15</w:t>
          </w:r>
          <w:r>
            <w:rPr>
              <w:sz w:val="24"/>
            </w:rPr>
            <w:fldChar w:fldCharType="end"/>
          </w:r>
          <w:r>
            <w:rPr>
              <w:sz w:val="24"/>
            </w:rPr>
            <w:fldChar w:fldCharType="end"/>
          </w:r>
        </w:p>
        <w:p>
          <w:pPr>
            <w:pStyle w:val="16"/>
            <w:tabs>
              <w:tab w:val="right" w:leader="dot" w:pos="8290"/>
            </w:tabs>
            <w:spacing w:line="440" w:lineRule="exact"/>
            <w:rPr>
              <w:sz w:val="24"/>
              <w:szCs w:val="22"/>
            </w:rPr>
          </w:pPr>
          <w:r>
            <w:fldChar w:fldCharType="begin"/>
          </w:r>
          <w:r>
            <w:instrText xml:space="preserve"> HYPERLINK \l "_Toc85036113" </w:instrText>
          </w:r>
          <w:r>
            <w:fldChar w:fldCharType="separate"/>
          </w:r>
          <w:r>
            <w:rPr>
              <w:rStyle w:val="25"/>
              <w:rFonts w:ascii="Arial" w:hAnsi="Arial" w:eastAsia="黑体"/>
              <w:sz w:val="24"/>
            </w:rPr>
            <w:t>第四章  重点任务</w:t>
          </w:r>
          <w:r>
            <w:rPr>
              <w:sz w:val="24"/>
            </w:rPr>
            <w:tab/>
          </w:r>
          <w:r>
            <w:rPr>
              <w:sz w:val="24"/>
            </w:rPr>
            <w:fldChar w:fldCharType="begin"/>
          </w:r>
          <w:r>
            <w:rPr>
              <w:sz w:val="24"/>
            </w:rPr>
            <w:instrText xml:space="preserve"> PAGEREF _Toc85036113 \h </w:instrText>
          </w:r>
          <w:r>
            <w:rPr>
              <w:sz w:val="24"/>
            </w:rPr>
            <w:fldChar w:fldCharType="separate"/>
          </w:r>
          <w:r>
            <w:rPr>
              <w:sz w:val="24"/>
            </w:rPr>
            <w:t>18</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"_Toc85036114" </w:instrText>
          </w:r>
          <w:r>
            <w:fldChar w:fldCharType="separate"/>
          </w:r>
          <w:r>
            <w:rPr>
              <w:rStyle w:val="25"/>
              <w:rFonts w:ascii="Times New Roman" w:hAnsi="Times New Roman" w:eastAsia="宋体" w:cs="Times New Roman"/>
              <w:sz w:val="24"/>
            </w:rPr>
            <w:t>一、聚焦高水平，深度推进文旅融合</w:t>
          </w:r>
          <w:r>
            <w:rPr>
              <w:sz w:val="24"/>
            </w:rPr>
            <w:tab/>
          </w:r>
          <w:r>
            <w:rPr>
              <w:sz w:val="24"/>
            </w:rPr>
            <w:fldChar w:fldCharType="begin"/>
          </w:r>
          <w:r>
            <w:rPr>
              <w:sz w:val="24"/>
            </w:rPr>
            <w:instrText xml:space="preserve"> PAGEREF _Toc85036114 \h </w:instrText>
          </w:r>
          <w:r>
            <w:rPr>
              <w:sz w:val="24"/>
            </w:rPr>
            <w:fldChar w:fldCharType="separate"/>
          </w:r>
          <w:r>
            <w:rPr>
              <w:sz w:val="24"/>
            </w:rPr>
            <w:t>18</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"_Toc85036115" </w:instrText>
          </w:r>
          <w:r>
            <w:fldChar w:fldCharType="separate"/>
          </w:r>
          <w:r>
            <w:rPr>
              <w:rStyle w:val="25"/>
              <w:rFonts w:ascii="Times New Roman" w:hAnsi="Times New Roman" w:eastAsia="宋体" w:cs="Times New Roman"/>
              <w:sz w:val="24"/>
            </w:rPr>
            <w:t>二、注重高质量，壮大产业综合实力</w:t>
          </w:r>
          <w:r>
            <w:rPr>
              <w:sz w:val="24"/>
            </w:rPr>
            <w:tab/>
          </w:r>
          <w:r>
            <w:rPr>
              <w:sz w:val="24"/>
            </w:rPr>
            <w:fldChar w:fldCharType="begin"/>
          </w:r>
          <w:r>
            <w:rPr>
              <w:sz w:val="24"/>
            </w:rPr>
            <w:instrText xml:space="preserve"> PAGEREF _Toc85036115 \h </w:instrText>
          </w:r>
          <w:r>
            <w:rPr>
              <w:sz w:val="24"/>
            </w:rPr>
            <w:fldChar w:fldCharType="separate"/>
          </w:r>
          <w:r>
            <w:rPr>
              <w:sz w:val="24"/>
            </w:rPr>
            <w:t>21</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"_Toc85036116" </w:instrText>
          </w:r>
          <w:r>
            <w:fldChar w:fldCharType="separate"/>
          </w:r>
          <w:r>
            <w:rPr>
              <w:rStyle w:val="25"/>
              <w:rFonts w:ascii="Times New Roman" w:hAnsi="Times New Roman" w:eastAsia="宋体" w:cs="Times New Roman"/>
              <w:sz w:val="24"/>
            </w:rPr>
            <w:t>三、增强竞争力，丰富旅游产品供给</w:t>
          </w:r>
          <w:r>
            <w:rPr>
              <w:sz w:val="24"/>
            </w:rPr>
            <w:tab/>
          </w:r>
          <w:r>
            <w:rPr>
              <w:sz w:val="24"/>
            </w:rPr>
            <w:fldChar w:fldCharType="begin"/>
          </w:r>
          <w:r>
            <w:rPr>
              <w:sz w:val="24"/>
            </w:rPr>
            <w:instrText xml:space="preserve"> PAGEREF _Toc85036116 \h </w:instrText>
          </w:r>
          <w:r>
            <w:rPr>
              <w:sz w:val="24"/>
            </w:rPr>
            <w:fldChar w:fldCharType="separate"/>
          </w:r>
          <w:r>
            <w:rPr>
              <w:sz w:val="24"/>
            </w:rPr>
            <w:t>26</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"_Toc85036117" </w:instrText>
          </w:r>
          <w:r>
            <w:fldChar w:fldCharType="separate"/>
          </w:r>
          <w:r>
            <w:rPr>
              <w:rStyle w:val="25"/>
              <w:rFonts w:ascii="Times New Roman" w:hAnsi="Times New Roman" w:eastAsia="宋体" w:cs="Times New Roman"/>
              <w:sz w:val="24"/>
            </w:rPr>
            <w:t>四、畅通双循环，激发旅消费新活力</w:t>
          </w:r>
          <w:r>
            <w:rPr>
              <w:sz w:val="24"/>
            </w:rPr>
            <w:tab/>
          </w:r>
          <w:r>
            <w:rPr>
              <w:sz w:val="24"/>
            </w:rPr>
            <w:fldChar w:fldCharType="begin"/>
          </w:r>
          <w:r>
            <w:rPr>
              <w:sz w:val="24"/>
            </w:rPr>
            <w:instrText xml:space="preserve"> PAGEREF _Toc85036117 \h </w:instrText>
          </w:r>
          <w:r>
            <w:rPr>
              <w:sz w:val="24"/>
            </w:rPr>
            <w:fldChar w:fldCharType="separate"/>
          </w:r>
          <w:r>
            <w:rPr>
              <w:sz w:val="24"/>
            </w:rPr>
            <w:t>27</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"_Toc85036118" </w:instrText>
          </w:r>
          <w:r>
            <w:fldChar w:fldCharType="separate"/>
          </w:r>
          <w:r>
            <w:rPr>
              <w:rStyle w:val="25"/>
              <w:rFonts w:ascii="Times New Roman" w:hAnsi="Times New Roman" w:eastAsia="宋体" w:cs="Times New Roman"/>
              <w:sz w:val="24"/>
            </w:rPr>
            <w:t>五、提升影响力，打响“幸福水天堂”品牌</w:t>
          </w:r>
          <w:r>
            <w:rPr>
              <w:sz w:val="24"/>
            </w:rPr>
            <w:tab/>
          </w:r>
          <w:r>
            <w:rPr>
              <w:sz w:val="24"/>
            </w:rPr>
            <w:fldChar w:fldCharType="begin"/>
          </w:r>
          <w:r>
            <w:rPr>
              <w:sz w:val="24"/>
            </w:rPr>
            <w:instrText xml:space="preserve"> PAGEREF _Toc85036118 \h </w:instrText>
          </w:r>
          <w:r>
            <w:rPr>
              <w:sz w:val="24"/>
            </w:rPr>
            <w:fldChar w:fldCharType="separate"/>
          </w:r>
          <w:r>
            <w:rPr>
              <w:sz w:val="24"/>
            </w:rPr>
            <w:t>29</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"_Toc85036119" </w:instrText>
          </w:r>
          <w:r>
            <w:fldChar w:fldCharType="separate"/>
          </w:r>
          <w:r>
            <w:rPr>
              <w:rStyle w:val="25"/>
              <w:rFonts w:ascii="Times New Roman" w:hAnsi="Times New Roman" w:eastAsia="宋体" w:cs="Times New Roman"/>
              <w:sz w:val="24"/>
            </w:rPr>
            <w:t>六、构建新体系，提升旅游公共服务</w:t>
          </w:r>
          <w:r>
            <w:rPr>
              <w:sz w:val="24"/>
            </w:rPr>
            <w:tab/>
          </w:r>
          <w:r>
            <w:rPr>
              <w:sz w:val="24"/>
            </w:rPr>
            <w:fldChar w:fldCharType="begin"/>
          </w:r>
          <w:r>
            <w:rPr>
              <w:sz w:val="24"/>
            </w:rPr>
            <w:instrText xml:space="preserve"> PAGEREF _Toc85036119 \h </w:instrText>
          </w:r>
          <w:r>
            <w:rPr>
              <w:sz w:val="24"/>
            </w:rPr>
            <w:fldChar w:fldCharType="separate"/>
          </w:r>
          <w:r>
            <w:rPr>
              <w:sz w:val="24"/>
            </w:rPr>
            <w:t>32</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"_Toc85036120" </w:instrText>
          </w:r>
          <w:r>
            <w:fldChar w:fldCharType="separate"/>
          </w:r>
          <w:r>
            <w:rPr>
              <w:rStyle w:val="25"/>
              <w:rFonts w:ascii="Times New Roman" w:hAnsi="Times New Roman" w:eastAsia="宋体" w:cs="Times New Roman"/>
              <w:sz w:val="24"/>
            </w:rPr>
            <w:t>七、加快数字化，打造智慧文旅系统</w:t>
          </w:r>
          <w:r>
            <w:rPr>
              <w:sz w:val="24"/>
            </w:rPr>
            <w:tab/>
          </w:r>
          <w:r>
            <w:rPr>
              <w:sz w:val="24"/>
            </w:rPr>
            <w:fldChar w:fldCharType="begin"/>
          </w:r>
          <w:r>
            <w:rPr>
              <w:sz w:val="24"/>
            </w:rPr>
            <w:instrText xml:space="preserve"> PAGEREF _Toc85036120 \h </w:instrText>
          </w:r>
          <w:r>
            <w:rPr>
              <w:sz w:val="24"/>
            </w:rPr>
            <w:fldChar w:fldCharType="separate"/>
          </w:r>
          <w:r>
            <w:rPr>
              <w:sz w:val="24"/>
            </w:rPr>
            <w:t>34</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"_Toc85036121" </w:instrText>
          </w:r>
          <w:r>
            <w:fldChar w:fldCharType="separate"/>
          </w:r>
          <w:r>
            <w:rPr>
              <w:rStyle w:val="25"/>
              <w:rFonts w:ascii="Times New Roman" w:hAnsi="Times New Roman" w:eastAsia="宋体" w:cs="Times New Roman"/>
              <w:sz w:val="24"/>
            </w:rPr>
            <w:t>八、运用新理念，构建保护利用体系</w:t>
          </w:r>
          <w:r>
            <w:rPr>
              <w:sz w:val="24"/>
            </w:rPr>
            <w:tab/>
          </w:r>
          <w:r>
            <w:rPr>
              <w:sz w:val="24"/>
            </w:rPr>
            <w:fldChar w:fldCharType="begin"/>
          </w:r>
          <w:r>
            <w:rPr>
              <w:sz w:val="24"/>
            </w:rPr>
            <w:instrText xml:space="preserve"> PAGEREF _Toc85036121 \h </w:instrText>
          </w:r>
          <w:r>
            <w:rPr>
              <w:sz w:val="24"/>
            </w:rPr>
            <w:fldChar w:fldCharType="separate"/>
          </w:r>
          <w:r>
            <w:rPr>
              <w:sz w:val="24"/>
            </w:rPr>
            <w:t>35</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"_Toc85036122" </w:instrText>
          </w:r>
          <w:r>
            <w:fldChar w:fldCharType="separate"/>
          </w:r>
          <w:r>
            <w:rPr>
              <w:rStyle w:val="25"/>
              <w:rFonts w:ascii="Times New Roman" w:hAnsi="Times New Roman" w:eastAsia="宋体" w:cs="Times New Roman"/>
              <w:sz w:val="24"/>
            </w:rPr>
            <w:t>九、紧扣高效能，提升现代化治理水平</w:t>
          </w:r>
          <w:r>
            <w:rPr>
              <w:sz w:val="24"/>
            </w:rPr>
            <w:tab/>
          </w:r>
          <w:r>
            <w:rPr>
              <w:sz w:val="24"/>
            </w:rPr>
            <w:fldChar w:fldCharType="begin"/>
          </w:r>
          <w:r>
            <w:rPr>
              <w:sz w:val="24"/>
            </w:rPr>
            <w:instrText xml:space="preserve"> PAGEREF _Toc85036122 \h </w:instrText>
          </w:r>
          <w:r>
            <w:rPr>
              <w:sz w:val="24"/>
            </w:rPr>
            <w:fldChar w:fldCharType="separate"/>
          </w:r>
          <w:r>
            <w:rPr>
              <w:sz w:val="24"/>
            </w:rPr>
            <w:t>36</w:t>
          </w:r>
          <w:r>
            <w:rPr>
              <w:sz w:val="24"/>
            </w:rPr>
            <w:fldChar w:fldCharType="end"/>
          </w:r>
          <w:r>
            <w:rPr>
              <w:sz w:val="24"/>
            </w:rPr>
            <w:fldChar w:fldCharType="end"/>
          </w:r>
        </w:p>
        <w:p>
          <w:pPr>
            <w:pStyle w:val="16"/>
            <w:tabs>
              <w:tab w:val="right" w:leader="dot" w:pos="8290"/>
            </w:tabs>
            <w:spacing w:line="440" w:lineRule="exact"/>
            <w:rPr>
              <w:sz w:val="24"/>
              <w:szCs w:val="22"/>
            </w:rPr>
          </w:pPr>
          <w:r>
            <w:fldChar w:fldCharType="begin"/>
          </w:r>
          <w:r>
            <w:instrText xml:space="preserve"> HYPERLINK \l "_Toc85036123" </w:instrText>
          </w:r>
          <w:r>
            <w:fldChar w:fldCharType="separate"/>
          </w:r>
          <w:r>
            <w:rPr>
              <w:rStyle w:val="25"/>
              <w:rFonts w:ascii="Arial" w:hAnsi="Arial" w:eastAsia="黑体"/>
              <w:sz w:val="24"/>
            </w:rPr>
            <w:t>第五章  保障体系</w:t>
          </w:r>
          <w:r>
            <w:rPr>
              <w:sz w:val="24"/>
            </w:rPr>
            <w:tab/>
          </w:r>
          <w:r>
            <w:rPr>
              <w:sz w:val="24"/>
            </w:rPr>
            <w:fldChar w:fldCharType="begin"/>
          </w:r>
          <w:r>
            <w:rPr>
              <w:sz w:val="24"/>
            </w:rPr>
            <w:instrText xml:space="preserve"> PAGEREF _Toc85036123 \h </w:instrText>
          </w:r>
          <w:r>
            <w:rPr>
              <w:sz w:val="24"/>
            </w:rPr>
            <w:fldChar w:fldCharType="separate"/>
          </w:r>
          <w:r>
            <w:rPr>
              <w:sz w:val="24"/>
            </w:rPr>
            <w:t>38</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"_Toc85036124" </w:instrText>
          </w:r>
          <w:r>
            <w:fldChar w:fldCharType="separate"/>
          </w:r>
          <w:r>
            <w:rPr>
              <w:rStyle w:val="25"/>
              <w:rFonts w:ascii="Times New Roman" w:hAnsi="Times New Roman" w:eastAsia="宋体" w:cs="Times New Roman"/>
              <w:sz w:val="24"/>
            </w:rPr>
            <w:t>一、政策保障</w:t>
          </w:r>
          <w:r>
            <w:rPr>
              <w:sz w:val="24"/>
            </w:rPr>
            <w:tab/>
          </w:r>
          <w:r>
            <w:rPr>
              <w:sz w:val="24"/>
            </w:rPr>
            <w:fldChar w:fldCharType="begin"/>
          </w:r>
          <w:r>
            <w:rPr>
              <w:sz w:val="24"/>
            </w:rPr>
            <w:instrText xml:space="preserve"> PAGEREF _Toc85036124 \h </w:instrText>
          </w:r>
          <w:r>
            <w:rPr>
              <w:sz w:val="24"/>
            </w:rPr>
            <w:fldChar w:fldCharType="separate"/>
          </w:r>
          <w:r>
            <w:rPr>
              <w:sz w:val="24"/>
            </w:rPr>
            <w:t>38</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"_Toc85036125" </w:instrText>
          </w:r>
          <w:r>
            <w:fldChar w:fldCharType="separate"/>
          </w:r>
          <w:r>
            <w:rPr>
              <w:rStyle w:val="25"/>
              <w:rFonts w:ascii="Times New Roman" w:hAnsi="Times New Roman" w:eastAsia="宋体" w:cs="Times New Roman"/>
              <w:sz w:val="24"/>
            </w:rPr>
            <w:t>二、机制保障</w:t>
          </w:r>
          <w:r>
            <w:rPr>
              <w:sz w:val="24"/>
            </w:rPr>
            <w:tab/>
          </w:r>
          <w:r>
            <w:rPr>
              <w:sz w:val="24"/>
            </w:rPr>
            <w:fldChar w:fldCharType="begin"/>
          </w:r>
          <w:r>
            <w:rPr>
              <w:sz w:val="24"/>
            </w:rPr>
            <w:instrText xml:space="preserve"> PAGEREF _Toc85036125 \h </w:instrText>
          </w:r>
          <w:r>
            <w:rPr>
              <w:sz w:val="24"/>
            </w:rPr>
            <w:fldChar w:fldCharType="separate"/>
          </w:r>
          <w:r>
            <w:rPr>
              <w:sz w:val="24"/>
            </w:rPr>
            <w:t>39</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"_Toc85036126" </w:instrText>
          </w:r>
          <w:r>
            <w:fldChar w:fldCharType="separate"/>
          </w:r>
          <w:r>
            <w:rPr>
              <w:rStyle w:val="25"/>
              <w:rFonts w:ascii="Times New Roman" w:hAnsi="Times New Roman" w:eastAsia="宋体" w:cs="Times New Roman"/>
              <w:sz w:val="24"/>
            </w:rPr>
            <w:t>三、人才保障</w:t>
          </w:r>
          <w:r>
            <w:rPr>
              <w:sz w:val="24"/>
            </w:rPr>
            <w:tab/>
          </w:r>
          <w:r>
            <w:rPr>
              <w:sz w:val="24"/>
            </w:rPr>
            <w:fldChar w:fldCharType="begin"/>
          </w:r>
          <w:r>
            <w:rPr>
              <w:sz w:val="24"/>
            </w:rPr>
            <w:instrText xml:space="preserve"> PAGEREF _Toc85036126 \h </w:instrText>
          </w:r>
          <w:r>
            <w:rPr>
              <w:sz w:val="24"/>
            </w:rPr>
            <w:fldChar w:fldCharType="separate"/>
          </w:r>
          <w:r>
            <w:rPr>
              <w:sz w:val="24"/>
            </w:rPr>
            <w:t>40</w:t>
          </w:r>
          <w:r>
            <w:rPr>
              <w:sz w:val="24"/>
            </w:rPr>
            <w:fldChar w:fldCharType="end"/>
          </w:r>
          <w:r>
            <w:rPr>
              <w:sz w:val="24"/>
            </w:rPr>
            <w:fldChar w:fldCharType="end"/>
          </w:r>
        </w:p>
        <w:p>
          <w:pPr>
            <w:pStyle w:val="12"/>
            <w:tabs>
              <w:tab w:val="right" w:leader="dot" w:pos="8290"/>
            </w:tabs>
            <w:spacing w:line="440" w:lineRule="exact"/>
            <w:rPr>
              <w:sz w:val="24"/>
              <w:szCs w:val="22"/>
            </w:rPr>
          </w:pPr>
          <w:r>
            <w:fldChar w:fldCharType="begin"/>
          </w:r>
          <w:r>
            <w:instrText xml:space="preserve"> HYPERLINK \l "_Toc85036127" </w:instrText>
          </w:r>
          <w:r>
            <w:fldChar w:fldCharType="separate"/>
          </w:r>
          <w:r>
            <w:rPr>
              <w:rStyle w:val="25"/>
              <w:rFonts w:ascii="Times New Roman" w:hAnsi="Times New Roman" w:eastAsia="宋体" w:cs="Times New Roman"/>
              <w:sz w:val="24"/>
            </w:rPr>
            <w:t>四、实施保障</w:t>
          </w:r>
          <w:r>
            <w:rPr>
              <w:sz w:val="24"/>
            </w:rPr>
            <w:tab/>
          </w:r>
          <w:r>
            <w:rPr>
              <w:sz w:val="24"/>
            </w:rPr>
            <w:fldChar w:fldCharType="begin"/>
          </w:r>
          <w:r>
            <w:rPr>
              <w:sz w:val="24"/>
            </w:rPr>
            <w:instrText xml:space="preserve"> PAGEREF _Toc85036127 \h </w:instrText>
          </w:r>
          <w:r>
            <w:rPr>
              <w:sz w:val="24"/>
            </w:rPr>
            <w:fldChar w:fldCharType="separate"/>
          </w:r>
          <w:r>
            <w:rPr>
              <w:sz w:val="24"/>
            </w:rPr>
            <w:t>40</w:t>
          </w:r>
          <w:r>
            <w:rPr>
              <w:sz w:val="24"/>
            </w:rPr>
            <w:fldChar w:fldCharType="end"/>
          </w:r>
          <w:r>
            <w:rPr>
              <w:sz w:val="24"/>
            </w:rPr>
            <w:fldChar w:fldCharType="end"/>
          </w:r>
        </w:p>
        <w:p>
          <w:pPr>
            <w:pStyle w:val="16"/>
            <w:tabs>
              <w:tab w:val="right" w:leader="dot" w:pos="8290"/>
            </w:tabs>
            <w:spacing w:line="440" w:lineRule="exact"/>
            <w:rPr>
              <w:sz w:val="24"/>
              <w:szCs w:val="22"/>
            </w:rPr>
          </w:pPr>
          <w:r>
            <w:fldChar w:fldCharType="begin"/>
          </w:r>
          <w:r>
            <w:instrText xml:space="preserve"> HYPERLINK \l "_Toc85036128" </w:instrText>
          </w:r>
          <w:r>
            <w:fldChar w:fldCharType="separate"/>
          </w:r>
          <w:r>
            <w:rPr>
              <w:rStyle w:val="25"/>
              <w:rFonts w:ascii="Arial" w:hAnsi="Arial" w:eastAsia="黑体"/>
              <w:sz w:val="24"/>
            </w:rPr>
            <w:t>附：“十四五”旅游项目一览</w:t>
          </w:r>
          <w:r>
            <w:rPr>
              <w:sz w:val="24"/>
            </w:rPr>
            <w:tab/>
          </w:r>
          <w:r>
            <w:rPr>
              <w:sz w:val="24"/>
            </w:rPr>
            <w:fldChar w:fldCharType="begin"/>
          </w:r>
          <w:r>
            <w:rPr>
              <w:sz w:val="24"/>
            </w:rPr>
            <w:instrText xml:space="preserve"> PAGEREF _Toc85036128 \h </w:instrText>
          </w:r>
          <w:r>
            <w:rPr>
              <w:sz w:val="24"/>
            </w:rPr>
            <w:fldChar w:fldCharType="separate"/>
          </w:r>
          <w:r>
            <w:rPr>
              <w:sz w:val="24"/>
            </w:rPr>
            <w:t>41</w:t>
          </w:r>
          <w:r>
            <w:rPr>
              <w:sz w:val="24"/>
            </w:rPr>
            <w:fldChar w:fldCharType="end"/>
          </w:r>
          <w:r>
            <w:rPr>
              <w:sz w:val="24"/>
            </w:rPr>
            <w:fldChar w:fldCharType="end"/>
          </w:r>
        </w:p>
        <w:p>
          <w:pPr>
            <w:spacing w:line="440" w:lineRule="exact"/>
          </w:pPr>
          <w:r>
            <w:rPr>
              <w:b/>
              <w:bCs/>
              <w:sz w:val="24"/>
              <w:lang w:val="zh-CN"/>
            </w:rPr>
            <w:fldChar w:fldCharType="end"/>
          </w:r>
        </w:p>
      </w:sdtContent>
    </w:sdt>
    <w:p/>
    <w:p>
      <w:pPr>
        <w:pStyle w:val="4"/>
        <w:ind w:firstLine="0" w:firstLineChars="0"/>
        <w:rPr>
          <w:rStyle w:val="25"/>
          <w:rFonts w:ascii="黑体" w:hAnsi="黑体" w:eastAsia="黑体"/>
          <w:color w:val="auto"/>
          <w:sz w:val="28"/>
          <w:szCs w:val="36"/>
          <w:u w:val="none"/>
        </w:rPr>
        <w:sectPr>
          <w:pgSz w:w="11906" w:h="16838"/>
          <w:pgMar w:top="1440" w:right="1803" w:bottom="1440" w:left="1803" w:header="851" w:footer="992" w:gutter="0"/>
          <w:pgNumType w:start="1"/>
          <w:cols w:space="0" w:num="1"/>
          <w:docGrid w:type="lines" w:linePitch="319" w:charSpace="0"/>
        </w:sectPr>
      </w:pPr>
    </w:p>
    <w:p>
      <w:pPr>
        <w:adjustRightInd w:val="0"/>
        <w:snapToGrid w:val="0"/>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为推进泰州市旅游业高质量发展，充分发挥旅游业在经济社会发展中的综合带动作用，根据《泰州市国民经济和社会发展第十四个五年规划和二○三五年远景目标纲要》，制定本规划。</w:t>
      </w:r>
    </w:p>
    <w:p/>
    <w:p>
      <w:pPr>
        <w:pStyle w:val="19"/>
        <w:spacing w:before="120" w:after="120" w:line="560" w:lineRule="exact"/>
        <w:rPr>
          <w:rFonts w:ascii="Arial" w:hAnsi="Arial" w:eastAsia="黑体" w:cstheme="minorBidi"/>
          <w:bCs w:val="0"/>
          <w:color w:val="000000" w:themeColor="text1"/>
          <w:sz w:val="40"/>
          <w:szCs w:val="28"/>
          <w14:textFill>
            <w14:solidFill>
              <w14:schemeClr w14:val="tx1"/>
            </w14:solidFill>
          </w14:textFill>
        </w:rPr>
      </w:pPr>
      <w:bookmarkStart w:id="0" w:name="_Toc85036102"/>
      <w:r>
        <w:rPr>
          <w:rFonts w:hint="eastAsia" w:ascii="Arial" w:hAnsi="Arial" w:eastAsia="黑体" w:cstheme="minorBidi"/>
          <w:bCs w:val="0"/>
          <w:color w:val="000000" w:themeColor="text1"/>
          <w:sz w:val="40"/>
          <w:szCs w:val="28"/>
          <w14:textFill>
            <w14:solidFill>
              <w14:schemeClr w14:val="tx1"/>
            </w14:solidFill>
          </w14:textFill>
        </w:rPr>
        <w:t>第一章 现实基础和发展背景</w:t>
      </w:r>
      <w:bookmarkEnd w:id="0"/>
    </w:p>
    <w:p/>
    <w:p>
      <w:pPr>
        <w:pStyle w:val="8"/>
        <w:spacing w:before="140" w:after="140"/>
        <w:rPr>
          <w:rFonts w:ascii="Times New Roman" w:hAnsi="Times New Roman" w:eastAsia="宋体" w:cs="Times New Roman"/>
          <w:color w:val="000000" w:themeColor="text1"/>
          <w14:textFill>
            <w14:solidFill>
              <w14:schemeClr w14:val="tx1"/>
            </w14:solidFill>
          </w14:textFill>
        </w:rPr>
      </w:pPr>
      <w:r>
        <w:fldChar w:fldCharType="begin"/>
      </w:r>
      <w:r>
        <w:instrText xml:space="preserve"> HYPERLINK \l "_Toc14488" </w:instrText>
      </w:r>
      <w:r>
        <w:fldChar w:fldCharType="separate"/>
      </w:r>
      <w:bookmarkStart w:id="1" w:name="_Toc85036103"/>
      <w:r>
        <w:rPr>
          <w:rFonts w:hint="eastAsia" w:ascii="Times New Roman" w:hAnsi="Times New Roman" w:eastAsia="宋体" w:cs="Times New Roman"/>
          <w:color w:val="000000" w:themeColor="text1"/>
          <w14:textFill>
            <w14:solidFill>
              <w14:schemeClr w14:val="tx1"/>
            </w14:solidFill>
          </w14:textFill>
        </w:rPr>
        <w:t>一、泰州市“十三五”旅游业发展成效</w:t>
      </w:r>
      <w:bookmarkEnd w:id="1"/>
      <w:r>
        <w:rPr>
          <w:rFonts w:hint="eastAsia" w:ascii="Times New Roman" w:hAnsi="Times New Roman" w:eastAsia="宋体" w:cs="Times New Roman"/>
          <w:color w:val="000000" w:themeColor="text1"/>
          <w14:textFill>
            <w14:solidFill>
              <w14:schemeClr w14:val="tx1"/>
            </w14:solidFill>
          </w14:textFill>
        </w:rPr>
        <w:fldChar w:fldCharType="end"/>
      </w:r>
    </w:p>
    <w:p>
      <w:pPr>
        <w:adjustRightInd w:val="0"/>
        <w:snapToGrid w:val="0"/>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“十三五”以来</w:t>
      </w:r>
      <w:r>
        <w:rPr>
          <w:rFonts w:ascii="仿宋" w:hAnsi="仿宋" w:eastAsia="仿宋" w:cs="Times New Roman"/>
          <w:bCs/>
          <w:kern w:val="0"/>
          <w:sz w:val="32"/>
          <w:szCs w:val="32"/>
        </w:rPr>
        <w:t>，</w:t>
      </w:r>
      <w:r>
        <w:rPr>
          <w:rFonts w:hint="eastAsia" w:ascii="仿宋" w:hAnsi="仿宋" w:eastAsia="仿宋" w:cs="Times New Roman"/>
          <w:bCs/>
          <w:kern w:val="0"/>
          <w:sz w:val="32"/>
          <w:szCs w:val="32"/>
        </w:rPr>
        <w:t>旅游业发展取得阶段性进展，为推动“十四五”旅游业发展再上新台阶奠定坚实基础。</w:t>
      </w:r>
    </w:p>
    <w:p>
      <w:pPr>
        <w:adjustRightInd w:val="0"/>
        <w:snapToGrid w:val="0"/>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bCs/>
          <w:kern w:val="0"/>
          <w:sz w:val="32"/>
          <w:szCs w:val="32"/>
        </w:rPr>
        <w:t>文旅融合成效初显。</w:t>
      </w:r>
      <w:r>
        <w:rPr>
          <w:rFonts w:hint="eastAsia" w:ascii="仿宋" w:hAnsi="仿宋" w:eastAsia="仿宋" w:cs="Times New Roman"/>
          <w:bCs/>
          <w:kern w:val="0"/>
          <w:sz w:val="32"/>
          <w:szCs w:val="32"/>
        </w:rPr>
        <w:t>梅兰芳艺术、泰州学派、里下河文学等特色文化品牌建设成效显著，稻河古街区、兴化金东门等一批历史文化街区建成开放，凤城河旅游长廊、古盐运河历史长廊、里下河生态长廊三大“水文化长廊”加快建设，同步推动泰州旅游精品线路并扩大旅游品牌影响，成为文旅融合的有效载体。启动国家全域旅游示范区创建工作，兴化创成省级全域旅游示范区，成为文旅融合的龙头品牌。</w:t>
      </w:r>
    </w:p>
    <w:p>
      <w:pPr>
        <w:adjustRightInd w:val="0"/>
        <w:snapToGrid w:val="0"/>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bCs/>
          <w:kern w:val="0"/>
          <w:sz w:val="32"/>
          <w:szCs w:val="32"/>
        </w:rPr>
        <w:t>综合实力不断增强</w:t>
      </w:r>
      <w:r>
        <w:rPr>
          <w:rFonts w:ascii="仿宋" w:hAnsi="仿宋" w:eastAsia="仿宋" w:cs="Times New Roman"/>
          <w:b/>
          <w:bCs/>
          <w:kern w:val="0"/>
          <w:sz w:val="32"/>
          <w:szCs w:val="32"/>
        </w:rPr>
        <w:t>。</w:t>
      </w:r>
      <w:r>
        <w:rPr>
          <w:rFonts w:hint="eastAsia" w:ascii="仿宋" w:hAnsi="仿宋" w:eastAsia="仿宋" w:cs="Times New Roman"/>
          <w:bCs/>
          <w:kern w:val="0"/>
          <w:sz w:val="32"/>
          <w:szCs w:val="32"/>
        </w:rPr>
        <w:t>2019年全市共接待国内游客3156.72万人次，全年实现旅游总收入414.03亿元。旅游业增加值占全市地区生产总值比重达到8.07%，全市旅游直接就业人数6235人，游客人均逗留天数1.41天，每人次平均消费达到1438元，旅游业对我市国民经济发展的促进作用日益显现</w:t>
      </w:r>
      <w:r>
        <w:rPr>
          <w:rFonts w:ascii="仿宋" w:hAnsi="仿宋" w:eastAsia="仿宋" w:cs="Times New Roman"/>
          <w:bCs/>
          <w:kern w:val="0"/>
          <w:sz w:val="32"/>
          <w:szCs w:val="32"/>
        </w:rPr>
        <w:t>，</w:t>
      </w:r>
      <w:r>
        <w:rPr>
          <w:rFonts w:hint="eastAsia" w:ascii="仿宋" w:hAnsi="仿宋" w:eastAsia="仿宋" w:cs="Times New Roman"/>
          <w:bCs/>
          <w:kern w:val="0"/>
          <w:sz w:val="32"/>
          <w:szCs w:val="32"/>
        </w:rPr>
        <w:t>在国民经济中的地位稳步提升。2</w:t>
      </w:r>
      <w:r>
        <w:rPr>
          <w:rFonts w:ascii="仿宋" w:hAnsi="仿宋" w:eastAsia="仿宋" w:cs="Times New Roman"/>
          <w:bCs/>
          <w:kern w:val="0"/>
          <w:sz w:val="32"/>
          <w:szCs w:val="32"/>
        </w:rPr>
        <w:t>020</w:t>
      </w:r>
      <w:r>
        <w:rPr>
          <w:rFonts w:hint="eastAsia" w:ascii="仿宋" w:hAnsi="仿宋" w:eastAsia="仿宋" w:cs="Times New Roman"/>
          <w:bCs/>
          <w:kern w:val="0"/>
          <w:sz w:val="32"/>
          <w:szCs w:val="32"/>
        </w:rPr>
        <w:t>年旅游市场受疫情冲击明显，全年接待国内游客1266.96万人次，接待入境过夜游客0.91万人次，实现旅游总收入154.11亿元，实现旅游外汇收入1604.03万美元。</w:t>
      </w:r>
    </w:p>
    <w:p>
      <w:pPr>
        <w:adjustRightInd w:val="0"/>
        <w:snapToGrid w:val="0"/>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bCs/>
          <w:kern w:val="0"/>
          <w:sz w:val="32"/>
          <w:szCs w:val="32"/>
        </w:rPr>
        <w:t>品牌影响不断扩大</w:t>
      </w:r>
      <w:r>
        <w:rPr>
          <w:rFonts w:ascii="仿宋" w:hAnsi="仿宋" w:eastAsia="仿宋" w:cs="Times New Roman"/>
          <w:b/>
          <w:bCs/>
          <w:kern w:val="0"/>
          <w:sz w:val="32"/>
          <w:szCs w:val="32"/>
        </w:rPr>
        <w:t>。</w:t>
      </w:r>
      <w:r>
        <w:rPr>
          <w:rFonts w:hint="eastAsia" w:ascii="仿宋" w:hAnsi="仿宋" w:eastAsia="仿宋" w:cs="Times New Roman"/>
          <w:bCs/>
          <w:kern w:val="0"/>
          <w:sz w:val="32"/>
          <w:szCs w:val="32"/>
        </w:rPr>
        <w:t>集中精力打造“泰州太美、顺风顺水”“水城慢生活、尘世幸福多”等城市形象口号和旅游品牌，获评“中国最具幸福感城市”。水城水乡国际旅游节、千垛菜花旅游节、水城蟹乡美食旅游季、万亩荷塘荷花节、品蟹赏菊旅游季、水上森林红杉节等四季旅游节庆品牌</w:t>
      </w:r>
      <w:r>
        <w:rPr>
          <w:rFonts w:ascii="仿宋" w:hAnsi="仿宋" w:eastAsia="仿宋" w:cs="Times New Roman"/>
          <w:bCs/>
          <w:kern w:val="0"/>
          <w:sz w:val="32"/>
          <w:szCs w:val="32"/>
        </w:rPr>
        <w:t>，</w:t>
      </w:r>
      <w:r>
        <w:rPr>
          <w:rFonts w:hint="eastAsia" w:ascii="仿宋" w:hAnsi="仿宋" w:eastAsia="仿宋" w:cs="Times New Roman"/>
          <w:bCs/>
          <w:kern w:val="0"/>
          <w:sz w:val="32"/>
          <w:szCs w:val="32"/>
        </w:rPr>
        <w:t>成为对外文旅交流的靓丽名片。在上海、青岛、台湾等重要客源地设立泰州旅游推广中心，连续多年在北京、上海等地举办旅游推介会和专题营销活动，接连亮相国家级媒体，品牌形象渐入人心。</w:t>
      </w:r>
    </w:p>
    <w:p>
      <w:pPr>
        <w:adjustRightInd w:val="0"/>
        <w:snapToGrid w:val="0"/>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bCs/>
          <w:kern w:val="0"/>
          <w:sz w:val="32"/>
          <w:szCs w:val="32"/>
        </w:rPr>
        <w:t>产业规模持续壮大</w:t>
      </w:r>
      <w:r>
        <w:rPr>
          <w:rFonts w:ascii="仿宋" w:hAnsi="仿宋" w:eastAsia="仿宋" w:cs="Times New Roman"/>
          <w:b/>
          <w:bCs/>
          <w:kern w:val="0"/>
          <w:sz w:val="32"/>
          <w:szCs w:val="32"/>
        </w:rPr>
        <w:t>。</w:t>
      </w:r>
      <w:r>
        <w:rPr>
          <w:rFonts w:hint="eastAsia" w:ascii="仿宋" w:hAnsi="仿宋" w:eastAsia="仿宋" w:cs="Times New Roman"/>
          <w:bCs/>
          <w:kern w:val="0"/>
          <w:sz w:val="32"/>
          <w:szCs w:val="32"/>
        </w:rPr>
        <w:t>启动实施旅游项目450个，累计完成投资超700亿元，姜堰溱湖旅游度假区综合提升项目、泰兴长江生态文化街区及沿江生态廊道等项目入选江苏省重点旅游项目。稻河景区、雕花楼景区、新四军黄桥战役纪念馆等3家景区创成4A级景区。全市现有A级景区39家，省级旅游度假区1家、省级特色小镇（旅游风情类）1家、生态旅游示范区2家，三星级以上酒店13家，旅行社132家（星级旅行社28家），旅游产业竞争力进一步增强。</w:t>
      </w:r>
    </w:p>
    <w:p>
      <w:pPr>
        <w:adjustRightInd w:val="0"/>
        <w:snapToGrid w:val="0"/>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bCs/>
          <w:kern w:val="0"/>
          <w:sz w:val="32"/>
          <w:szCs w:val="32"/>
        </w:rPr>
        <w:t>新业态蓬勃发展</w:t>
      </w:r>
      <w:r>
        <w:rPr>
          <w:rFonts w:ascii="仿宋" w:hAnsi="仿宋" w:eastAsia="仿宋" w:cs="Times New Roman"/>
          <w:b/>
          <w:bCs/>
          <w:kern w:val="0"/>
          <w:sz w:val="32"/>
          <w:szCs w:val="32"/>
        </w:rPr>
        <w:t>。</w:t>
      </w:r>
      <w:r>
        <w:rPr>
          <w:rFonts w:hint="eastAsia" w:ascii="仿宋" w:hAnsi="仿宋" w:eastAsia="仿宋" w:cs="Times New Roman"/>
          <w:bCs/>
          <w:kern w:val="0"/>
          <w:sz w:val="32"/>
          <w:szCs w:val="32"/>
        </w:rPr>
        <w:t>乡村旅游、健康旅游、</w:t>
      </w:r>
      <w:r>
        <w:rPr>
          <w:rFonts w:ascii="仿宋" w:hAnsi="仿宋" w:eastAsia="仿宋" w:cs="Times New Roman"/>
          <w:bCs/>
          <w:kern w:val="0"/>
          <w:sz w:val="32"/>
          <w:szCs w:val="32"/>
        </w:rPr>
        <w:t>游轮</w:t>
      </w:r>
      <w:r>
        <w:rPr>
          <w:rFonts w:hint="eastAsia" w:ascii="仿宋" w:hAnsi="仿宋" w:eastAsia="仿宋" w:cs="Times New Roman"/>
          <w:bCs/>
          <w:kern w:val="0"/>
          <w:sz w:val="32"/>
          <w:szCs w:val="32"/>
        </w:rPr>
        <w:t>专列等新产品、新业态不断涌现，大大拓展了旅游业发展新领域。祁巷村、东罗村、小杨村被评为全国乡村旅游重点村，千垛耘朵、小杨人家、潼享田园等高品质乡村民宿运营良好。泰州市先后获得“国家康养旅游示范基地”“国家中医药健康旅游示范区”“国家健康医疗旅游示范基地”3个国字号品牌。</w:t>
      </w:r>
      <w:r>
        <w:rPr>
          <w:rFonts w:ascii="仿宋" w:hAnsi="仿宋" w:eastAsia="仿宋" w:cs="Times New Roman"/>
          <w:bCs/>
          <w:kern w:val="0"/>
          <w:sz w:val="32"/>
          <w:szCs w:val="32"/>
        </w:rPr>
        <w:t>开通“重庆—泰州”“上海—泰州—南京”长江豪华游轮航线</w:t>
      </w:r>
      <w:r>
        <w:rPr>
          <w:rFonts w:hint="eastAsia" w:ascii="仿宋" w:hAnsi="仿宋" w:eastAsia="仿宋" w:cs="Times New Roman"/>
          <w:bCs/>
          <w:kern w:val="0"/>
          <w:sz w:val="32"/>
          <w:szCs w:val="32"/>
        </w:rPr>
        <w:t>，</w:t>
      </w:r>
      <w:r>
        <w:rPr>
          <w:rFonts w:ascii="仿宋" w:hAnsi="仿宋" w:eastAsia="仿宋" w:cs="Times New Roman"/>
          <w:bCs/>
          <w:kern w:val="0"/>
          <w:sz w:val="32"/>
          <w:szCs w:val="32"/>
        </w:rPr>
        <w:t>连续</w:t>
      </w:r>
      <w:r>
        <w:rPr>
          <w:rFonts w:hint="eastAsia" w:ascii="仿宋" w:hAnsi="仿宋" w:eastAsia="仿宋" w:cs="Times New Roman"/>
          <w:bCs/>
          <w:kern w:val="0"/>
          <w:sz w:val="32"/>
          <w:szCs w:val="32"/>
        </w:rPr>
        <w:t>9</w:t>
      </w:r>
      <w:r>
        <w:rPr>
          <w:rFonts w:ascii="仿宋" w:hAnsi="仿宋" w:eastAsia="仿宋" w:cs="Times New Roman"/>
          <w:bCs/>
          <w:kern w:val="0"/>
          <w:sz w:val="32"/>
          <w:szCs w:val="32"/>
        </w:rPr>
        <w:t>年开通青岛旅游（泰州）专列，连续迎来北京豪华专列、</w:t>
      </w:r>
      <w:r>
        <w:rPr>
          <w:rFonts w:hint="eastAsia" w:ascii="仿宋" w:hAnsi="仿宋" w:eastAsia="仿宋" w:cs="Times New Roman"/>
          <w:bCs/>
          <w:kern w:val="0"/>
          <w:sz w:val="32"/>
          <w:szCs w:val="32"/>
        </w:rPr>
        <w:t>粤港专列等。此外，红色旅游、生态旅游、研学旅游等业态蓬勃发展，体育旅游、落地自驾、自驾车旅居车营地、低空飞行等旅游产品竞相涌现。</w:t>
      </w:r>
    </w:p>
    <w:p>
      <w:pPr>
        <w:pStyle w:val="27"/>
        <w:widowControl w:val="0"/>
        <w:tabs>
          <w:tab w:val="right" w:leader="dot" w:pos="8306"/>
        </w:tabs>
        <w:ind w:left="0" w:leftChars="0" w:firstLine="643" w:firstLineChars="200"/>
        <w:jc w:val="both"/>
        <w:rPr>
          <w:rFonts w:ascii="仿宋" w:hAnsi="仿宋" w:eastAsia="仿宋"/>
          <w:bCs/>
          <w:sz w:val="32"/>
          <w:szCs w:val="32"/>
        </w:rPr>
      </w:pPr>
      <w:r>
        <w:rPr>
          <w:rFonts w:hint="eastAsia" w:ascii="仿宋" w:hAnsi="仿宋" w:eastAsia="仿宋"/>
          <w:b/>
          <w:bCs/>
          <w:sz w:val="32"/>
          <w:szCs w:val="32"/>
        </w:rPr>
        <w:t>体制机制不断健全</w:t>
      </w:r>
      <w:r>
        <w:rPr>
          <w:rFonts w:ascii="仿宋" w:hAnsi="仿宋" w:eastAsia="仿宋"/>
          <w:b/>
          <w:bCs/>
          <w:sz w:val="32"/>
          <w:szCs w:val="32"/>
        </w:rPr>
        <w:t>。</w:t>
      </w:r>
      <w:r>
        <w:rPr>
          <w:rFonts w:hint="eastAsia" w:ascii="仿宋" w:hAnsi="仿宋" w:eastAsia="仿宋"/>
          <w:bCs/>
          <w:sz w:val="32"/>
          <w:szCs w:val="32"/>
        </w:rPr>
        <w:t>以诚信旅游示范城市创建为抓手，全面贯彻落实《旅游法》《旅游条例》，依法治旅、依法兴旅水平明显提升。加强考核推动，出台《关于大力发展全域旅游的实施意见》《全域旅游创建工作方案》等顶层设计文件，将旅游工作任务列入对乡镇、部门的年度绩效考核当中。推进重点旅游公司实体化运营，充实人员、落实经费、增强发展活力。针对疫情影响，市委市政府启动文旅惠民季活动，推出支持旅游发展、促进文旅消费的八项政策，发放5000万元旅游消费券，为旅游业全面复苏打下坚实基础。</w:t>
      </w:r>
    </w:p>
    <w:p>
      <w:pPr>
        <w:pStyle w:val="27"/>
        <w:widowControl w:val="0"/>
        <w:tabs>
          <w:tab w:val="right" w:leader="dot" w:pos="8306"/>
        </w:tabs>
        <w:ind w:left="0" w:leftChars="0" w:firstLine="600" w:firstLineChars="200"/>
        <w:jc w:val="center"/>
        <w:rPr>
          <w:rFonts w:ascii="仿宋" w:hAnsi="仿宋" w:eastAsia="仿宋"/>
          <w:bCs/>
          <w:sz w:val="30"/>
          <w:szCs w:val="30"/>
        </w:rPr>
      </w:pPr>
      <w:r>
        <w:rPr>
          <w:rFonts w:hint="eastAsia" w:ascii="仿宋" w:hAnsi="仿宋" w:eastAsia="仿宋"/>
          <w:bCs/>
          <w:sz w:val="30"/>
          <w:szCs w:val="30"/>
        </w:rPr>
        <w:t>表1 泰州市旅游业“十三五”主要指标完成情况</w:t>
      </w:r>
    </w:p>
    <w:tbl>
      <w:tblPr>
        <w:tblStyle w:val="20"/>
        <w:tblW w:w="4998" w:type="pct"/>
        <w:jc w:val="center"/>
        <w:tblLayout w:type="autofit"/>
        <w:tblCellMar>
          <w:top w:w="0" w:type="dxa"/>
          <w:left w:w="0" w:type="dxa"/>
          <w:bottom w:w="0" w:type="dxa"/>
          <w:right w:w="0" w:type="dxa"/>
        </w:tblCellMar>
      </w:tblPr>
      <w:tblGrid>
        <w:gridCol w:w="1168"/>
        <w:gridCol w:w="3414"/>
        <w:gridCol w:w="1125"/>
        <w:gridCol w:w="1340"/>
        <w:gridCol w:w="1280"/>
      </w:tblGrid>
      <w:tr>
        <w:tblPrEx>
          <w:tblCellMar>
            <w:top w:w="0" w:type="dxa"/>
            <w:left w:w="0" w:type="dxa"/>
            <w:bottom w:w="0" w:type="dxa"/>
            <w:right w:w="0" w:type="dxa"/>
          </w:tblCellMar>
        </w:tblPrEx>
        <w:trPr>
          <w:trHeight w:val="454" w:hRule="atLeast"/>
          <w:jc w:val="center"/>
        </w:trPr>
        <w:tc>
          <w:tcPr>
            <w:tcW w:w="701"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b/>
                <w:bCs/>
                <w:szCs w:val="21"/>
              </w:rPr>
            </w:pPr>
          </w:p>
        </w:tc>
        <w:tc>
          <w:tcPr>
            <w:tcW w:w="2049"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主要指标</w:t>
            </w:r>
          </w:p>
        </w:tc>
        <w:tc>
          <w:tcPr>
            <w:tcW w:w="675"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单位</w:t>
            </w:r>
          </w:p>
        </w:tc>
        <w:tc>
          <w:tcPr>
            <w:tcW w:w="804"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2016年</w:t>
            </w:r>
          </w:p>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数值</w:t>
            </w:r>
          </w:p>
        </w:tc>
        <w:tc>
          <w:tcPr>
            <w:tcW w:w="768"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2019年</w:t>
            </w:r>
          </w:p>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数值</w:t>
            </w:r>
          </w:p>
        </w:tc>
      </w:tr>
      <w:tr>
        <w:tblPrEx>
          <w:tblCellMar>
            <w:top w:w="0" w:type="dxa"/>
            <w:left w:w="0" w:type="dxa"/>
            <w:bottom w:w="0" w:type="dxa"/>
            <w:right w:w="0" w:type="dxa"/>
          </w:tblCellMar>
        </w:tblPrEx>
        <w:trPr>
          <w:trHeight w:val="454" w:hRule="atLeast"/>
          <w:jc w:val="center"/>
        </w:trPr>
        <w:tc>
          <w:tcPr>
            <w:tcW w:w="701" w:type="pct"/>
            <w:vMerge w:val="restart"/>
            <w:tcBorders>
              <w:top w:val="nil"/>
              <w:left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规模指标</w:t>
            </w:r>
          </w:p>
        </w:tc>
        <w:tc>
          <w:tcPr>
            <w:tcW w:w="2049"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旅游接待总人数</w:t>
            </w:r>
          </w:p>
        </w:tc>
        <w:tc>
          <w:tcPr>
            <w:tcW w:w="675"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万人次</w:t>
            </w:r>
          </w:p>
        </w:tc>
        <w:tc>
          <w:tcPr>
            <w:tcW w:w="804"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2282.32</w:t>
            </w:r>
          </w:p>
        </w:tc>
        <w:tc>
          <w:tcPr>
            <w:tcW w:w="768"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3156.72</w:t>
            </w:r>
          </w:p>
        </w:tc>
      </w:tr>
      <w:tr>
        <w:tblPrEx>
          <w:tblCellMar>
            <w:top w:w="0" w:type="dxa"/>
            <w:left w:w="0" w:type="dxa"/>
            <w:bottom w:w="0" w:type="dxa"/>
            <w:right w:w="0" w:type="dxa"/>
          </w:tblCellMar>
        </w:tblPrEx>
        <w:trPr>
          <w:trHeight w:val="454" w:hRule="atLeast"/>
          <w:jc w:val="center"/>
        </w:trPr>
        <w:tc>
          <w:tcPr>
            <w:tcW w:w="701" w:type="pct"/>
            <w:vMerge w:val="continue"/>
            <w:tcBorders>
              <w:left w:val="single" w:color="000000" w:sz="8" w:space="0"/>
              <w:bottom w:val="nil"/>
              <w:right w:val="single" w:color="000000" w:sz="8" w:space="0"/>
            </w:tcBorders>
            <w:tcMar>
              <w:top w:w="15" w:type="dxa"/>
              <w:left w:w="15" w:type="dxa"/>
              <w:right w:w="15" w:type="dxa"/>
            </w:tcMar>
            <w:vAlign w:val="center"/>
          </w:tcPr>
          <w:p>
            <w:pPr>
              <w:jc w:val="center"/>
              <w:rPr>
                <w:rFonts w:ascii="Times New Roman" w:hAnsi="Times New Roman" w:eastAsia="宋体" w:cs="Times New Roman"/>
                <w:b/>
                <w:bCs/>
                <w:szCs w:val="21"/>
              </w:rPr>
            </w:pPr>
          </w:p>
        </w:tc>
        <w:tc>
          <w:tcPr>
            <w:tcW w:w="2049"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旅游总收入</w:t>
            </w:r>
          </w:p>
        </w:tc>
        <w:tc>
          <w:tcPr>
            <w:tcW w:w="675"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亿元</w:t>
            </w:r>
          </w:p>
        </w:tc>
        <w:tc>
          <w:tcPr>
            <w:tcW w:w="804"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282.66</w:t>
            </w:r>
          </w:p>
        </w:tc>
        <w:tc>
          <w:tcPr>
            <w:tcW w:w="768"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414.03</w:t>
            </w:r>
          </w:p>
        </w:tc>
      </w:tr>
      <w:tr>
        <w:tblPrEx>
          <w:tblCellMar>
            <w:top w:w="0" w:type="dxa"/>
            <w:left w:w="0" w:type="dxa"/>
            <w:bottom w:w="0" w:type="dxa"/>
            <w:right w:w="0" w:type="dxa"/>
          </w:tblCellMar>
        </w:tblPrEx>
        <w:trPr>
          <w:trHeight w:val="454" w:hRule="atLeast"/>
          <w:jc w:val="center"/>
        </w:trPr>
        <w:tc>
          <w:tcPr>
            <w:tcW w:w="701" w:type="pct"/>
            <w:vMerge w:val="restart"/>
            <w:tcBorders>
              <w:top w:val="single" w:color="000000" w:sz="8" w:space="0"/>
              <w:left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质量指标</w:t>
            </w:r>
          </w:p>
        </w:tc>
        <w:tc>
          <w:tcPr>
            <w:tcW w:w="2049" w:type="pct"/>
            <w:tcBorders>
              <w:top w:val="nil"/>
              <w:left w:val="nil"/>
              <w:bottom w:val="single" w:color="auto" w:sz="4"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国内游客人均消费</w:t>
            </w:r>
          </w:p>
        </w:tc>
        <w:tc>
          <w:tcPr>
            <w:tcW w:w="675" w:type="pct"/>
            <w:tcBorders>
              <w:top w:val="nil"/>
              <w:left w:val="nil"/>
              <w:bottom w:val="single" w:color="auto" w:sz="4"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元</w:t>
            </w:r>
          </w:p>
        </w:tc>
        <w:tc>
          <w:tcPr>
            <w:tcW w:w="804" w:type="pct"/>
            <w:tcBorders>
              <w:top w:val="nil"/>
              <w:left w:val="nil"/>
              <w:bottom w:val="single" w:color="auto" w:sz="4"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1321</w:t>
            </w:r>
          </w:p>
        </w:tc>
        <w:tc>
          <w:tcPr>
            <w:tcW w:w="768" w:type="pct"/>
            <w:tcBorders>
              <w:top w:val="nil"/>
              <w:left w:val="nil"/>
              <w:bottom w:val="single" w:color="auto" w:sz="4"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1438</w:t>
            </w:r>
          </w:p>
        </w:tc>
      </w:tr>
      <w:tr>
        <w:tblPrEx>
          <w:tblCellMar>
            <w:top w:w="0" w:type="dxa"/>
            <w:left w:w="0" w:type="dxa"/>
            <w:bottom w:w="0" w:type="dxa"/>
            <w:right w:w="0" w:type="dxa"/>
          </w:tblCellMar>
        </w:tblPrEx>
        <w:trPr>
          <w:trHeight w:val="454" w:hRule="atLeast"/>
          <w:jc w:val="center"/>
        </w:trPr>
        <w:tc>
          <w:tcPr>
            <w:tcW w:w="701" w:type="pct"/>
            <w:vMerge w:val="continue"/>
            <w:tcBorders>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b/>
                <w:bCs/>
                <w:szCs w:val="21"/>
              </w:rPr>
            </w:pPr>
          </w:p>
        </w:tc>
        <w:tc>
          <w:tcPr>
            <w:tcW w:w="2049" w:type="pct"/>
            <w:tcBorders>
              <w:top w:val="single" w:color="auto" w:sz="4" w:space="0"/>
              <w:left w:val="nil"/>
              <w:bottom w:val="single" w:color="auto" w:sz="4"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人均停留天数</w:t>
            </w:r>
          </w:p>
        </w:tc>
        <w:tc>
          <w:tcPr>
            <w:tcW w:w="675" w:type="pct"/>
            <w:tcBorders>
              <w:top w:val="single" w:color="auto" w:sz="4" w:space="0"/>
              <w:left w:val="nil"/>
              <w:bottom w:val="single" w:color="auto" w:sz="4"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天</w:t>
            </w:r>
          </w:p>
        </w:tc>
        <w:tc>
          <w:tcPr>
            <w:tcW w:w="804" w:type="pct"/>
            <w:tcBorders>
              <w:top w:val="single" w:color="auto" w:sz="4" w:space="0"/>
              <w:left w:val="nil"/>
              <w:bottom w:val="single" w:color="auto" w:sz="4"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1.51</w:t>
            </w:r>
          </w:p>
        </w:tc>
        <w:tc>
          <w:tcPr>
            <w:tcW w:w="768" w:type="pct"/>
            <w:tcBorders>
              <w:top w:val="single" w:color="auto" w:sz="4" w:space="0"/>
              <w:left w:val="nil"/>
              <w:bottom w:val="single" w:color="auto" w:sz="4"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1.41</w:t>
            </w:r>
          </w:p>
        </w:tc>
      </w:tr>
      <w:tr>
        <w:tblPrEx>
          <w:tblCellMar>
            <w:top w:w="0" w:type="dxa"/>
            <w:left w:w="0" w:type="dxa"/>
            <w:bottom w:w="0" w:type="dxa"/>
            <w:right w:w="0" w:type="dxa"/>
          </w:tblCellMar>
        </w:tblPrEx>
        <w:trPr>
          <w:trHeight w:val="454" w:hRule="atLeast"/>
          <w:jc w:val="center"/>
        </w:trPr>
        <w:tc>
          <w:tcPr>
            <w:tcW w:w="701" w:type="pct"/>
            <w:vMerge w:val="continue"/>
            <w:tcBorders>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b/>
                <w:bCs/>
                <w:szCs w:val="21"/>
              </w:rPr>
            </w:pPr>
          </w:p>
        </w:tc>
        <w:tc>
          <w:tcPr>
            <w:tcW w:w="2049" w:type="pct"/>
            <w:tcBorders>
              <w:top w:val="single" w:color="auto" w:sz="4" w:space="0"/>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游客满意度</w:t>
            </w:r>
          </w:p>
        </w:tc>
        <w:tc>
          <w:tcPr>
            <w:tcW w:w="675" w:type="pct"/>
            <w:tcBorders>
              <w:top w:val="single" w:color="auto" w:sz="4" w:space="0"/>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804" w:type="pct"/>
            <w:tcBorders>
              <w:top w:val="single" w:color="auto" w:sz="4" w:space="0"/>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p>
        </w:tc>
        <w:tc>
          <w:tcPr>
            <w:tcW w:w="768" w:type="pct"/>
            <w:tcBorders>
              <w:top w:val="single" w:color="auto" w:sz="4" w:space="0"/>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81.82</w:t>
            </w:r>
          </w:p>
        </w:tc>
      </w:tr>
      <w:tr>
        <w:tblPrEx>
          <w:tblCellMar>
            <w:top w:w="0" w:type="dxa"/>
            <w:left w:w="0" w:type="dxa"/>
            <w:bottom w:w="0" w:type="dxa"/>
            <w:right w:w="0" w:type="dxa"/>
          </w:tblCellMar>
        </w:tblPrEx>
        <w:trPr>
          <w:trHeight w:val="454" w:hRule="atLeast"/>
          <w:jc w:val="center"/>
        </w:trPr>
        <w:tc>
          <w:tcPr>
            <w:tcW w:w="701" w:type="pct"/>
            <w:vMerge w:val="restart"/>
            <w:tcBorders>
              <w:top w:val="nil"/>
              <w:left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效益指标</w:t>
            </w:r>
          </w:p>
        </w:tc>
        <w:tc>
          <w:tcPr>
            <w:tcW w:w="2049"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旅游产业增加值占地区生产总值比重</w:t>
            </w:r>
          </w:p>
        </w:tc>
        <w:tc>
          <w:tcPr>
            <w:tcW w:w="675"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804"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6.89</w:t>
            </w:r>
          </w:p>
        </w:tc>
        <w:tc>
          <w:tcPr>
            <w:tcW w:w="768"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8.07</w:t>
            </w:r>
          </w:p>
        </w:tc>
      </w:tr>
      <w:tr>
        <w:tblPrEx>
          <w:tblCellMar>
            <w:top w:w="0" w:type="dxa"/>
            <w:left w:w="0" w:type="dxa"/>
            <w:bottom w:w="0" w:type="dxa"/>
            <w:right w:w="0" w:type="dxa"/>
          </w:tblCellMar>
        </w:tblPrEx>
        <w:trPr>
          <w:trHeight w:val="454" w:hRule="atLeast"/>
          <w:jc w:val="center"/>
        </w:trPr>
        <w:tc>
          <w:tcPr>
            <w:tcW w:w="701" w:type="pct"/>
            <w:vMerge w:val="continue"/>
            <w:tcBorders>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b/>
                <w:bCs/>
                <w:szCs w:val="21"/>
              </w:rPr>
            </w:pPr>
          </w:p>
        </w:tc>
        <w:tc>
          <w:tcPr>
            <w:tcW w:w="2049"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旅游直接就业人数</w:t>
            </w:r>
          </w:p>
        </w:tc>
        <w:tc>
          <w:tcPr>
            <w:tcW w:w="675"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人</w:t>
            </w:r>
          </w:p>
        </w:tc>
        <w:tc>
          <w:tcPr>
            <w:tcW w:w="804"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p>
        </w:tc>
        <w:tc>
          <w:tcPr>
            <w:tcW w:w="768" w:type="pct"/>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6235</w:t>
            </w:r>
          </w:p>
        </w:tc>
      </w:tr>
    </w:tbl>
    <w:p>
      <w:pPr>
        <w:pStyle w:val="8"/>
        <w:spacing w:before="140" w:after="140"/>
        <w:rPr>
          <w:rFonts w:ascii="Times New Roman" w:hAnsi="Times New Roman" w:eastAsia="宋体" w:cs="Times New Roman"/>
          <w:color w:val="000000" w:themeColor="text1"/>
          <w14:textFill>
            <w14:solidFill>
              <w14:schemeClr w14:val="tx1"/>
            </w14:solidFill>
          </w14:textFill>
        </w:rPr>
      </w:pPr>
      <w:r>
        <w:fldChar w:fldCharType="begin"/>
      </w:r>
      <w:r>
        <w:instrText xml:space="preserve"> HYPERLINK \l "_Toc23797" </w:instrText>
      </w:r>
      <w:r>
        <w:fldChar w:fldCharType="separate"/>
      </w:r>
      <w:bookmarkStart w:id="2" w:name="_Toc85036104"/>
      <w:r>
        <w:rPr>
          <w:rFonts w:hint="eastAsia" w:ascii="Times New Roman" w:hAnsi="Times New Roman" w:eastAsia="宋体" w:cs="Times New Roman"/>
          <w:color w:val="000000" w:themeColor="text1"/>
          <w14:textFill>
            <w14:solidFill>
              <w14:schemeClr w14:val="tx1"/>
            </w14:solidFill>
          </w14:textFill>
        </w:rPr>
        <w:t>二、主要问题和不足</w:t>
      </w:r>
      <w:bookmarkEnd w:id="2"/>
      <w:r>
        <w:rPr>
          <w:rFonts w:hint="eastAsia" w:ascii="Times New Roman" w:hAnsi="Times New Roman" w:eastAsia="宋体" w:cs="Times New Roman"/>
          <w:color w:val="000000" w:themeColor="text1"/>
          <w14:textFill>
            <w14:solidFill>
              <w14:schemeClr w14:val="tx1"/>
            </w14:solidFill>
          </w14:textFill>
        </w:rPr>
        <w:fldChar w:fldCharType="end"/>
      </w:r>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“十三五”规划实施以来，尽管旅游业发展取得了较好成绩，但对比人民群众美好生活的需求、对比旅游业高质量发展的要求、对比周边先进城市发展的态势，仍存在一定的差距。</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（一）综合实力有待提升</w:t>
      </w:r>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泰州市旅游产业规模和效益在“十三五”时期得到了全面加强，但在江苏省内仍处于中游水平，尤其与苏南板块存在较大差距，与苏中板块相比发展动能不足，与苏北板块比较优势不明显。旅游产业整体规模仍然较小，国家级旅游品牌创建尚未取得新突破，旅游市场营销活动影响力不足，旅游业的富民带动效应仍未充分发挥作用。</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（二）供给结构还需优化</w:t>
      </w:r>
    </w:p>
    <w:p>
      <w:pPr>
        <w:spacing w:line="560" w:lineRule="exact"/>
        <w:ind w:firstLine="640" w:firstLineChars="200"/>
        <w:rPr>
          <w:rFonts w:ascii="仿宋" w:hAnsi="仿宋" w:eastAsia="仿宋" w:cs="Times New Roman"/>
          <w:b/>
          <w:kern w:val="0"/>
          <w:sz w:val="32"/>
          <w:szCs w:val="32"/>
        </w:rPr>
      </w:pPr>
      <w:r>
        <w:rPr>
          <w:rFonts w:hint="eastAsia" w:ascii="仿宋" w:hAnsi="仿宋" w:eastAsia="仿宋" w:cs="Times New Roman"/>
          <w:bCs/>
          <w:kern w:val="0"/>
          <w:sz w:val="32"/>
          <w:szCs w:val="32"/>
        </w:rPr>
        <w:t>泰州市旅游产业链结构不合理，供给效率不高。旅游企业“小、散、弱、低”现象比较突出，市场竞争力不强、抗风险能力较弱；泰州市文旅集团与各市区的文旅发展尚未形成合力。缺乏规模型、唯一性、独特性的龙头项目，旗舰型、龙头型、引擎型旅游大项目的招商引资迟迟没有突破。市区之间、景区之间各自为战，没有形成整体联动。</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（三）产品体系急需丰富</w:t>
      </w:r>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泰州市现有旅游产品体系不健全，创新不足。现有高等级景区、度假区较少，核心吸引物数量不足。旅游产品仍然以简单的观光游览为主，多样化、特色化、高端化的旅游供给缺口明显，地方特色不突出，市场竞争力偏弱。休闲度假、商务会奖、康体养生、文化体验等附加值高的旅游产品开发力度不够，规模化、全域化旅游产品仍显不足。</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（四）创新融合有待加强</w:t>
      </w:r>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泰州市文旅缺乏深度融合，“文化+旅游”融合发展效益尚未充分呈现。优秀文化题材缺乏足够的展现载体和良好的表达方式。缺乏具有吸引力和代表性的文旅项目和活动。运用现代科技手段的文化旅游数字化开发途径还不够宽广。特色产业与旅游业融合不足，在全域旅游背景下企业的产业融合意识有待增强。</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（五）公共服务有待完善</w:t>
      </w:r>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泰州市旅游公共服务品质与构建旅游全域化目标相比仍有一定差距。已建成智慧旅游服务中心，但全域咨询服务体系还需逐步完善。已开通水上巴士、旅游专线和部分旅游集散换乘线路等，但自驾车营地、车辆租赁等旅游公共设施和旅游服务仍有不足。旅游标识未实现全域化，自助导游服务亟待推广，安全标识需要进一步推广覆盖。</w:t>
      </w:r>
    </w:p>
    <w:p>
      <w:pPr>
        <w:pStyle w:val="8"/>
        <w:spacing w:before="140" w:after="140"/>
        <w:rPr>
          <w:rFonts w:ascii="Times New Roman" w:hAnsi="Times New Roman" w:eastAsia="宋体" w:cs="Times New Roman"/>
          <w:color w:val="000000" w:themeColor="text1"/>
          <w14:textFill>
            <w14:solidFill>
              <w14:schemeClr w14:val="tx1"/>
            </w14:solidFill>
          </w14:textFill>
        </w:rPr>
      </w:pPr>
      <w:r>
        <w:fldChar w:fldCharType="begin"/>
      </w:r>
      <w:r>
        <w:instrText xml:space="preserve"> HYPERLINK \l "_Toc4798" </w:instrText>
      </w:r>
      <w:r>
        <w:fldChar w:fldCharType="separate"/>
      </w:r>
      <w:bookmarkStart w:id="3" w:name="_Toc85036105"/>
      <w:r>
        <w:rPr>
          <w:rFonts w:hint="eastAsia" w:ascii="Times New Roman" w:hAnsi="Times New Roman" w:eastAsia="宋体" w:cs="Times New Roman"/>
          <w:color w:val="000000" w:themeColor="text1"/>
          <w14:textFill>
            <w14:solidFill>
              <w14:schemeClr w14:val="tx1"/>
            </w14:solidFill>
          </w14:textFill>
        </w:rPr>
        <w:t>三、发</w:t>
      </w:r>
      <w:r>
        <w:rPr>
          <w:rFonts w:hint="eastAsia" w:ascii="Times New Roman" w:hAnsi="Times New Roman" w:eastAsia="宋体" w:cs="Times New Roman"/>
          <w:color w:val="000000" w:themeColor="text1"/>
          <w14:textFill>
            <w14:solidFill>
              <w14:schemeClr w14:val="tx1"/>
            </w14:solidFill>
          </w14:textFill>
        </w:rPr>
        <w:fldChar w:fldCharType="end"/>
      </w:r>
      <w:r>
        <w:rPr>
          <w:rFonts w:hint="eastAsia" w:ascii="Times New Roman" w:hAnsi="Times New Roman" w:eastAsia="宋体" w:cs="Times New Roman"/>
          <w:color w:val="000000" w:themeColor="text1"/>
          <w14:textFill>
            <w14:solidFill>
              <w14:schemeClr w14:val="tx1"/>
            </w14:solidFill>
          </w14:textFill>
        </w:rPr>
        <w:t>展形势</w:t>
      </w:r>
      <w:bookmarkEnd w:id="3"/>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目前我国已进入高质量发展阶段，社会主要矛盾已经转化为人民日益增长的美好生活需要和不平衡不充分的发展之间的矛盾，人民对美好生活的要求不断提高。“十四五”时期，旅游业高质量发展面临前所未有的机遇，挑战也前所未有。</w:t>
      </w:r>
    </w:p>
    <w:p>
      <w:pPr>
        <w:spacing w:line="560" w:lineRule="exact"/>
        <w:ind w:firstLine="643" w:firstLineChars="200"/>
        <w:rPr>
          <w:rFonts w:ascii="仿宋" w:hAnsi="仿宋" w:eastAsia="仿宋" w:cs="Times New Roman"/>
          <w:b/>
          <w:kern w:val="0"/>
          <w:sz w:val="32"/>
          <w:szCs w:val="32"/>
        </w:rPr>
      </w:pPr>
      <w:bookmarkStart w:id="4" w:name="_Toc11788"/>
      <w:bookmarkStart w:id="5" w:name="_Toc59018928"/>
      <w:r>
        <w:rPr>
          <w:rFonts w:hint="eastAsia" w:ascii="仿宋" w:hAnsi="仿宋" w:eastAsia="仿宋" w:cs="Times New Roman"/>
          <w:b/>
          <w:kern w:val="0"/>
          <w:sz w:val="32"/>
          <w:szCs w:val="32"/>
        </w:rPr>
        <w:t>（一）发展背景和机遇</w:t>
      </w:r>
      <w:bookmarkEnd w:id="4"/>
      <w:bookmarkEnd w:id="5"/>
    </w:p>
    <w:p>
      <w:pPr>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1.高质量发展为旅游业提出新要求。</w:t>
      </w:r>
      <w:r>
        <w:rPr>
          <w:rFonts w:hint="eastAsia" w:ascii="仿宋" w:hAnsi="仿宋" w:eastAsia="仿宋" w:cs="Times New Roman"/>
          <w:bCs/>
          <w:kern w:val="0"/>
          <w:sz w:val="32"/>
          <w:szCs w:val="32"/>
        </w:rPr>
        <w:t>“十四五”时期，内需持续扩大，消费类型正快速从温饱型、小康型向多层次多样化、品质化品牌化的美好生活型升级。人民群众对高品质旅游需求将更加强烈，也对旅游业提出了更高的要求。</w:t>
      </w:r>
    </w:p>
    <w:p>
      <w:pPr>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2.科技革命为旅游业注入新动能。</w:t>
      </w:r>
      <w:r>
        <w:rPr>
          <w:rFonts w:hint="eastAsia" w:ascii="仿宋" w:hAnsi="仿宋" w:eastAsia="仿宋" w:cs="Times New Roman"/>
          <w:bCs/>
          <w:kern w:val="0"/>
          <w:sz w:val="32"/>
          <w:szCs w:val="32"/>
        </w:rPr>
        <w:t>全球新一轮科技革命和产业变革深入发展，有利于培育发展新动能。科技和产业创新能力不断突破，5G技术、大数据和人工智能等技术的发展与旅游业的融合将形成很多突破发展的新领域。</w:t>
      </w:r>
    </w:p>
    <w:p>
      <w:pPr>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3.国家战略为旅游业提升新能级。</w:t>
      </w:r>
      <w:r>
        <w:rPr>
          <w:rFonts w:hint="eastAsia" w:ascii="仿宋" w:hAnsi="仿宋" w:eastAsia="仿宋" w:cs="Times New Roman"/>
          <w:bCs/>
          <w:kern w:val="0"/>
          <w:sz w:val="32"/>
          <w:szCs w:val="32"/>
        </w:rPr>
        <w:t>“一带一路”建设、长江经济带发展、长三角区域一体化发展三大国家战略交汇叠加，将</w:t>
      </w:r>
      <w:r>
        <w:rPr>
          <w:rFonts w:ascii="仿宋" w:hAnsi="仿宋" w:eastAsia="仿宋" w:cs="Times New Roman"/>
          <w:bCs/>
          <w:kern w:val="0"/>
          <w:sz w:val="32"/>
          <w:szCs w:val="32"/>
        </w:rPr>
        <w:t>促进优质资源要素集聚、发展环境优化、创新人才汇聚，</w:t>
      </w:r>
      <w:r>
        <w:rPr>
          <w:rFonts w:hint="eastAsia" w:ascii="仿宋" w:hAnsi="仿宋" w:eastAsia="仿宋" w:cs="Times New Roman"/>
          <w:bCs/>
          <w:kern w:val="0"/>
          <w:sz w:val="32"/>
          <w:szCs w:val="32"/>
        </w:rPr>
        <w:t>通过一体化市场构建和协作分工提升发展能级和竞争力。</w:t>
      </w:r>
    </w:p>
    <w:p>
      <w:pPr>
        <w:spacing w:line="560" w:lineRule="exact"/>
        <w:ind w:firstLine="643" w:firstLineChars="200"/>
        <w:rPr>
          <w:rFonts w:ascii="仿宋" w:hAnsi="仿宋" w:eastAsia="仿宋" w:cs="Times New Roman"/>
          <w:b/>
          <w:kern w:val="0"/>
          <w:sz w:val="32"/>
          <w:szCs w:val="32"/>
        </w:rPr>
      </w:pPr>
      <w:bookmarkStart w:id="6" w:name="_Toc59018929"/>
      <w:bookmarkStart w:id="7" w:name="_Toc29575"/>
      <w:r>
        <w:rPr>
          <w:rFonts w:hint="eastAsia" w:ascii="仿宋" w:hAnsi="仿宋" w:eastAsia="仿宋" w:cs="Times New Roman"/>
          <w:b/>
          <w:kern w:val="0"/>
          <w:sz w:val="32"/>
          <w:szCs w:val="32"/>
        </w:rPr>
        <w:t>（二）风险与挑战</w:t>
      </w:r>
      <w:bookmarkEnd w:id="6"/>
      <w:bookmarkEnd w:id="7"/>
    </w:p>
    <w:p>
      <w:pPr>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1.复杂多变的国际关系给文旅行业发展带来不确定性。</w:t>
      </w:r>
      <w:r>
        <w:rPr>
          <w:rFonts w:hint="eastAsia" w:ascii="仿宋" w:hAnsi="仿宋" w:eastAsia="仿宋" w:cs="Times New Roman"/>
          <w:bCs/>
          <w:kern w:val="0"/>
          <w:sz w:val="32"/>
          <w:szCs w:val="32"/>
        </w:rPr>
        <w:t>世界进入动荡变革期，不稳定性不确定性明显增加，逆全球化思潮兴起，各国竞争优势重塑、国际经贸规则重建、全球力量格局重构三重叠加，为旅游业发展带来了巨大的风险。</w:t>
      </w:r>
    </w:p>
    <w:p>
      <w:pPr>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2.经济下行压力加大将影响旅游市场发展。</w:t>
      </w:r>
      <w:r>
        <w:rPr>
          <w:rFonts w:hint="eastAsia" w:ascii="仿宋" w:hAnsi="仿宋" w:eastAsia="仿宋" w:cs="Times New Roman"/>
          <w:bCs/>
          <w:kern w:val="0"/>
          <w:sz w:val="32"/>
          <w:szCs w:val="32"/>
        </w:rPr>
        <w:t>当前，世界主要经济体普遍面临经济下行压力，将抑制旅游投资和旅游消费的增长。需积极利用国内超大规模市场优势，加快形成以国内大循环为主体、国内国际双循环相互促进的新发展格局。</w:t>
      </w:r>
    </w:p>
    <w:p>
      <w:pPr>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3.公共卫生突发事件对旅游业发展带来重大挑战。</w:t>
      </w:r>
      <w:r>
        <w:rPr>
          <w:rFonts w:hint="eastAsia" w:ascii="仿宋" w:hAnsi="仿宋" w:eastAsia="仿宋" w:cs="Times New Roman"/>
          <w:bCs/>
          <w:kern w:val="0"/>
          <w:sz w:val="32"/>
          <w:szCs w:val="32"/>
        </w:rPr>
        <w:t>新冠疫情影响广泛深远，国际交流活动锐减、出入境市场停滞。随着国内疫情防控形势持续向好和各项支持政策效应逐步显现，旅游市场不断恢复，国内旅游消费将快速崛起。</w:t>
      </w:r>
    </w:p>
    <w:p>
      <w:pPr>
        <w:spacing w:line="560" w:lineRule="exact"/>
        <w:ind w:firstLine="643" w:firstLineChars="200"/>
        <w:rPr>
          <w:rFonts w:ascii="仿宋" w:hAnsi="仿宋" w:eastAsia="仿宋" w:cs="Times New Roman"/>
          <w:b/>
          <w:kern w:val="0"/>
          <w:sz w:val="32"/>
          <w:szCs w:val="32"/>
        </w:rPr>
      </w:pPr>
      <w:bookmarkStart w:id="8" w:name="_Toc59018930"/>
      <w:bookmarkStart w:id="9" w:name="_Toc26802"/>
      <w:r>
        <w:rPr>
          <w:rFonts w:hint="eastAsia" w:ascii="仿宋" w:hAnsi="仿宋" w:eastAsia="仿宋" w:cs="Times New Roman"/>
          <w:b/>
          <w:kern w:val="0"/>
          <w:sz w:val="32"/>
          <w:szCs w:val="32"/>
        </w:rPr>
        <w:t>（三）趋势研判</w:t>
      </w:r>
      <w:bookmarkEnd w:id="8"/>
      <w:bookmarkEnd w:id="9"/>
    </w:p>
    <w:p>
      <w:pPr>
        <w:spacing w:line="560" w:lineRule="exact"/>
        <w:ind w:firstLine="640" w:firstLineChars="200"/>
        <w:rPr>
          <w:rFonts w:ascii="仿宋" w:hAnsi="仿宋" w:eastAsia="仿宋" w:cs="Times New Roman"/>
          <w:bCs/>
          <w:kern w:val="0"/>
          <w:sz w:val="32"/>
          <w:szCs w:val="32"/>
        </w:rPr>
      </w:pPr>
      <w:r>
        <w:rPr>
          <w:rFonts w:ascii="仿宋" w:hAnsi="仿宋" w:eastAsia="仿宋" w:cs="Times New Roman"/>
          <w:bCs/>
          <w:kern w:val="0"/>
          <w:sz w:val="32"/>
          <w:szCs w:val="32"/>
        </w:rPr>
        <w:t>“</w:t>
      </w:r>
      <w:r>
        <w:rPr>
          <w:rFonts w:hint="eastAsia" w:ascii="仿宋" w:hAnsi="仿宋" w:eastAsia="仿宋" w:cs="Times New Roman"/>
          <w:bCs/>
          <w:kern w:val="0"/>
          <w:sz w:val="32"/>
          <w:szCs w:val="32"/>
        </w:rPr>
        <w:t>十四五</w:t>
      </w:r>
      <w:r>
        <w:rPr>
          <w:rFonts w:ascii="仿宋" w:hAnsi="仿宋" w:eastAsia="仿宋" w:cs="Times New Roman"/>
          <w:bCs/>
          <w:kern w:val="0"/>
          <w:sz w:val="32"/>
          <w:szCs w:val="32"/>
        </w:rPr>
        <w:t>”</w:t>
      </w:r>
      <w:r>
        <w:rPr>
          <w:rFonts w:hint="eastAsia" w:ascii="仿宋" w:hAnsi="仿宋" w:eastAsia="仿宋" w:cs="Times New Roman"/>
          <w:bCs/>
          <w:kern w:val="0"/>
          <w:sz w:val="32"/>
          <w:szCs w:val="32"/>
        </w:rPr>
        <w:t>及今后一个时期，泰州旅游业将处在现代化的开启期、高质量发展的关键期，全面进入大众旅游新阶段，全域化发展更加快速，品质化需求更加突出，分众化消费更加明显，数字化应用更加广泛，融合化改革更加深入。泰州既要从需求侧发力，激发需求潜力，更要从供给侧发力，提升供给质量，增强发展新动能，着力推动泰州旅游业走在高质量发展的前列。</w:t>
      </w:r>
    </w:p>
    <w:p>
      <w:pPr>
        <w:rPr>
          <w:rFonts w:hint="eastAsia"/>
        </w:rPr>
      </w:pPr>
    </w:p>
    <w:p>
      <w:pPr>
        <w:pStyle w:val="2"/>
        <w:rPr>
          <w:rFonts w:hint="eastAsia"/>
        </w:rPr>
      </w:pPr>
    </w:p>
    <w:p>
      <w:pPr>
        <w:pStyle w:val="19"/>
        <w:spacing w:before="120" w:after="120" w:line="560" w:lineRule="exact"/>
        <w:rPr>
          <w:rFonts w:ascii="Arial" w:hAnsi="Arial" w:eastAsia="黑体" w:cstheme="minorBidi"/>
          <w:bCs w:val="0"/>
          <w:color w:val="000000" w:themeColor="text1"/>
          <w:sz w:val="40"/>
          <w:szCs w:val="28"/>
          <w14:textFill>
            <w14:solidFill>
              <w14:schemeClr w14:val="tx1"/>
            </w14:solidFill>
          </w14:textFill>
        </w:rPr>
      </w:pPr>
      <w:r>
        <w:rPr>
          <w:rFonts w:hint="eastAsia" w:ascii="Arial" w:hAnsi="Arial" w:eastAsia="黑体" w:cstheme="minorBidi"/>
          <w:bCs w:val="0"/>
          <w:color w:val="000000" w:themeColor="text1"/>
          <w:sz w:val="40"/>
          <w:szCs w:val="28"/>
          <w14:textFill>
            <w14:solidFill>
              <w14:schemeClr w14:val="tx1"/>
            </w14:solidFill>
          </w14:textFill>
        </w:rPr>
        <w:fldChar w:fldCharType="begin" w:fldLock="1"/>
      </w:r>
      <w:r>
        <w:rPr>
          <w:rFonts w:hint="eastAsia" w:ascii="Arial" w:hAnsi="Arial" w:eastAsia="黑体" w:cstheme="minorBidi"/>
          <w:bCs w:val="0"/>
          <w:color w:val="000000" w:themeColor="text1"/>
          <w:sz w:val="40"/>
          <w:szCs w:val="28"/>
          <w14:textFill>
            <w14:solidFill>
              <w14:schemeClr w14:val="tx1"/>
            </w14:solidFill>
          </w14:textFill>
        </w:rPr>
        <w:instrText xml:space="preserve"> HYPERLINK \l _Toc18504 </w:instrText>
      </w:r>
      <w:r>
        <w:rPr>
          <w:rFonts w:hint="eastAsia" w:ascii="Arial" w:hAnsi="Arial" w:eastAsia="黑体" w:cstheme="minorBidi"/>
          <w:bCs w:val="0"/>
          <w:color w:val="000000" w:themeColor="text1"/>
          <w:sz w:val="40"/>
          <w:szCs w:val="28"/>
          <w14:textFill>
            <w14:solidFill>
              <w14:schemeClr w14:val="tx1"/>
            </w14:solidFill>
          </w14:textFill>
        </w:rPr>
        <w:fldChar w:fldCharType="separate"/>
      </w:r>
      <w:bookmarkStart w:id="10" w:name="_Toc85036106"/>
      <w:r>
        <w:rPr>
          <w:rFonts w:hint="eastAsia" w:ascii="Arial" w:hAnsi="Arial" w:eastAsia="黑体" w:cstheme="minorBidi"/>
          <w:bCs w:val="0"/>
          <w:color w:val="000000" w:themeColor="text1"/>
          <w:sz w:val="40"/>
          <w:szCs w:val="28"/>
          <w14:textFill>
            <w14:solidFill>
              <w14:schemeClr w14:val="tx1"/>
            </w14:solidFill>
          </w14:textFill>
        </w:rPr>
        <w:t>第二章  指导思想、规划原则与发展目标</w:t>
      </w:r>
      <w:bookmarkEnd w:id="10"/>
    </w:p>
    <w:p>
      <w:r>
        <w:rPr>
          <w:rFonts w:hint="eastAsia"/>
        </w:rPr>
        <w:fldChar w:fldCharType="end"/>
      </w:r>
    </w:p>
    <w:p>
      <w:pPr>
        <w:pStyle w:val="8"/>
        <w:spacing w:before="140" w:after="140"/>
        <w:rPr>
          <w:rFonts w:ascii="Times New Roman" w:hAnsi="Times New Roman" w:eastAsia="宋体" w:cs="Times New Roman"/>
          <w:color w:val="000000" w:themeColor="text1"/>
          <w14:textFill>
            <w14:solidFill>
              <w14:schemeClr w14:val="tx1"/>
            </w14:solidFill>
          </w14:textFill>
        </w:rPr>
      </w:pPr>
      <w:r>
        <w:fldChar w:fldCharType="begin"/>
      </w:r>
      <w:r>
        <w:instrText xml:space="preserve"> HYPERLINK \l "_Toc8127" </w:instrText>
      </w:r>
      <w:r>
        <w:fldChar w:fldCharType="separate"/>
      </w:r>
      <w:bookmarkStart w:id="11" w:name="_Toc85036107"/>
      <w:r>
        <w:rPr>
          <w:rFonts w:hint="eastAsia" w:ascii="Times New Roman" w:hAnsi="Times New Roman" w:eastAsia="宋体" w:cs="Times New Roman"/>
          <w:color w:val="000000" w:themeColor="text1"/>
          <w14:textFill>
            <w14:solidFill>
              <w14:schemeClr w14:val="tx1"/>
            </w14:solidFill>
          </w14:textFill>
        </w:rPr>
        <w:t>一、指导思想</w:t>
      </w:r>
      <w:bookmarkEnd w:id="11"/>
      <w:r>
        <w:rPr>
          <w:rFonts w:hint="eastAsia" w:ascii="Times New Roman" w:hAnsi="Times New Roman" w:eastAsia="宋体" w:cs="Times New Roman"/>
          <w:color w:val="000000" w:themeColor="text1"/>
          <w14:textFill>
            <w14:solidFill>
              <w14:schemeClr w14:val="tx1"/>
            </w14:solidFill>
          </w14:textFill>
        </w:rPr>
        <w:fldChar w:fldCharType="end"/>
      </w:r>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坚持以习近平新时代中国特色社会主义思想为指导，全面贯彻党的十九大和十九届二中、三中、四中、五中全会精神，</w:t>
      </w:r>
      <w:r>
        <w:rPr>
          <w:rFonts w:ascii="仿宋" w:hAnsi="仿宋" w:eastAsia="仿宋" w:cs="Times New Roman"/>
          <w:bCs/>
          <w:kern w:val="0"/>
          <w:sz w:val="32"/>
          <w:szCs w:val="32"/>
        </w:rPr>
        <w:t>对标对表“争当表率、争做示范、走在前列”的新使命新</w:t>
      </w:r>
      <w:r>
        <w:rPr>
          <w:rFonts w:hint="eastAsia" w:ascii="仿宋" w:hAnsi="仿宋" w:eastAsia="仿宋" w:cs="Times New Roman"/>
          <w:bCs/>
          <w:kern w:val="0"/>
          <w:sz w:val="32"/>
          <w:szCs w:val="32"/>
        </w:rPr>
        <w:t>要求，充分彰显“水韵江苏”新魅力，擦亮“健康名城、幸福泰州”城市名片，全力打造令人向往的“幸福水天堂”、崛起中部的产业增长极，准确把握旅游业发展所处历史方位和时代特征，进一步优化旅游空间布局，丰富旅游产品体系，完善旅游配套设施，改善旅游发展环境，着力构建现代旅游产业体系，</w:t>
      </w:r>
      <w:r>
        <w:rPr>
          <w:rFonts w:hint="eastAsia" w:ascii="仿宋" w:eastAsia="仿宋" w:cs="Times New Roman"/>
          <w:sz w:val="32"/>
          <w:szCs w:val="32"/>
        </w:rPr>
        <w:t>全面提升旅游业的发展能级和核心竞争力，</w:t>
      </w:r>
      <w:r>
        <w:rPr>
          <w:rFonts w:hint="eastAsia" w:ascii="仿宋" w:hAnsi="仿宋" w:eastAsia="仿宋" w:cs="Times New Roman"/>
          <w:bCs/>
          <w:kern w:val="0"/>
          <w:sz w:val="32"/>
          <w:szCs w:val="32"/>
        </w:rPr>
        <w:t>把旅游业打造成全市国民经济和社会发展的战略性支柱产业和幸福名片，加快建设以江海文化为底蕴的“尘世幸福”全域旅游示范区、以康养休闲为特色的“水天堂”度假胜地，努力成为长三角旅游一体化的重要节点城市和国内知名的康养旅游目的地。</w:t>
      </w:r>
    </w:p>
    <w:p>
      <w:pPr>
        <w:pStyle w:val="8"/>
        <w:spacing w:before="140" w:after="140"/>
        <w:rPr>
          <w:rFonts w:ascii="Times New Roman" w:hAnsi="Times New Roman" w:eastAsia="宋体" w:cs="Times New Roman"/>
          <w:color w:val="000000" w:themeColor="text1"/>
          <w14:textFill>
            <w14:solidFill>
              <w14:schemeClr w14:val="tx1"/>
            </w14:solidFill>
          </w14:textFill>
        </w:rPr>
      </w:pPr>
      <w:bookmarkStart w:id="12" w:name="_Toc85036108"/>
      <w:r>
        <w:rPr>
          <w:rFonts w:hint="eastAsia" w:ascii="Times New Roman" w:hAnsi="Times New Roman" w:eastAsia="宋体" w:cs="Times New Roman"/>
          <w:color w:val="000000" w:themeColor="text1"/>
          <w14:textFill>
            <w14:solidFill>
              <w14:schemeClr w14:val="tx1"/>
            </w14:solidFill>
          </w14:textFill>
        </w:rPr>
        <w:t>二、规划原则</w:t>
      </w:r>
      <w:bookmarkEnd w:id="12"/>
    </w:p>
    <w:p>
      <w:pPr>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1.以人为本，共建共享。</w:t>
      </w:r>
      <w:r>
        <w:rPr>
          <w:rFonts w:ascii="仿宋" w:hAnsi="仿宋" w:eastAsia="仿宋" w:cs="Times New Roman"/>
          <w:bCs/>
          <w:kern w:val="0"/>
          <w:sz w:val="32"/>
          <w:szCs w:val="32"/>
        </w:rPr>
        <w:t>用人民情怀谋划</w:t>
      </w:r>
      <w:r>
        <w:rPr>
          <w:rFonts w:hint="eastAsia" w:ascii="仿宋" w:hAnsi="仿宋" w:eastAsia="仿宋" w:cs="Times New Roman"/>
          <w:bCs/>
          <w:kern w:val="0"/>
          <w:sz w:val="32"/>
          <w:szCs w:val="32"/>
        </w:rPr>
        <w:t>旅游业</w:t>
      </w:r>
      <w:r>
        <w:rPr>
          <w:rFonts w:ascii="仿宋" w:hAnsi="仿宋" w:eastAsia="仿宋" w:cs="Times New Roman"/>
          <w:bCs/>
          <w:kern w:val="0"/>
          <w:sz w:val="32"/>
          <w:szCs w:val="32"/>
        </w:rPr>
        <w:t>发展，坚持发展为了人民，发展成果由人民共享，主动顺应人们消费心理和市场需求变化</w:t>
      </w:r>
      <w:r>
        <w:rPr>
          <w:rFonts w:hint="eastAsia" w:ascii="仿宋" w:hAnsi="仿宋" w:eastAsia="仿宋" w:cs="Times New Roman"/>
          <w:bCs/>
          <w:kern w:val="0"/>
          <w:sz w:val="32"/>
          <w:szCs w:val="32"/>
        </w:rPr>
        <w:t>，不断提升广大市民与游客的获得感和幸福感。</w:t>
      </w:r>
    </w:p>
    <w:p>
      <w:pPr>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2.全域统筹，融合发展。</w:t>
      </w:r>
      <w:r>
        <w:rPr>
          <w:rFonts w:ascii="仿宋" w:hAnsi="仿宋" w:eastAsia="仿宋" w:cs="Times New Roman"/>
          <w:bCs/>
          <w:kern w:val="0"/>
          <w:sz w:val="32"/>
          <w:szCs w:val="32"/>
        </w:rPr>
        <w:t>加强前瞻性思考、全局性谋划、战略性布局、整体性推进</w:t>
      </w:r>
      <w:r>
        <w:rPr>
          <w:rFonts w:hint="eastAsia" w:ascii="仿宋" w:hAnsi="仿宋" w:eastAsia="仿宋" w:cs="Times New Roman"/>
          <w:bCs/>
          <w:kern w:val="0"/>
          <w:sz w:val="32"/>
          <w:szCs w:val="32"/>
        </w:rPr>
        <w:t>，强化文旅商农体融合发展，深入推进产业融合，深化全域旅游发展。</w:t>
      </w:r>
    </w:p>
    <w:p>
      <w:pPr>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3.科技赋能，开放创新。</w:t>
      </w:r>
      <w:r>
        <w:rPr>
          <w:rFonts w:hint="eastAsia" w:ascii="仿宋" w:hAnsi="仿宋" w:eastAsia="仿宋" w:cs="Times New Roman"/>
          <w:bCs/>
          <w:kern w:val="0"/>
          <w:sz w:val="32"/>
          <w:szCs w:val="32"/>
        </w:rPr>
        <w:t>增强旅游业创新策源能力，推动科技创新助力旅游业转型升级，激发市场活力。以开放创新的理念，推动新业态新产品的发展。</w:t>
      </w:r>
    </w:p>
    <w:p>
      <w:pPr>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4.品质服务，现代治理。</w:t>
      </w:r>
      <w:r>
        <w:rPr>
          <w:rFonts w:hint="eastAsia" w:ascii="仿宋" w:hAnsi="仿宋" w:eastAsia="仿宋" w:cs="Times New Roman"/>
          <w:bCs/>
          <w:kern w:val="0"/>
          <w:sz w:val="32"/>
          <w:szCs w:val="32"/>
        </w:rPr>
        <w:t>持续提升旅游服务品质，发挥旅游业在提升城市功能、品位和影响力方面的作用，以社会化、规范化、法治化、智慧化推动旅游业现代化治理。</w:t>
      </w:r>
    </w:p>
    <w:p>
      <w:pPr>
        <w:pStyle w:val="8"/>
        <w:spacing w:before="140" w:after="140"/>
        <w:rPr>
          <w:rFonts w:ascii="仿宋" w:hAnsi="仿宋" w:eastAsia="仿宋" w:cs="Times New Roman"/>
          <w:kern w:val="0"/>
        </w:rPr>
      </w:pPr>
      <w:r>
        <w:rPr>
          <w:rFonts w:hint="eastAsia" w:ascii="Times New Roman" w:hAnsi="Times New Roman" w:eastAsia="宋体" w:cs="Times New Roman"/>
          <w:color w:val="000000" w:themeColor="text1"/>
          <w14:textFill>
            <w14:solidFill>
              <w14:schemeClr w14:val="tx1"/>
            </w14:solidFill>
          </w14:textFill>
        </w:rPr>
        <w:fldChar w:fldCharType="begin" w:fldLock="1"/>
      </w:r>
      <w:r>
        <w:rPr>
          <w:rFonts w:hint="eastAsia" w:ascii="Times New Roman" w:hAnsi="Times New Roman" w:eastAsia="宋体" w:cs="Times New Roman"/>
          <w:color w:val="000000" w:themeColor="text1"/>
          <w14:textFill>
            <w14:solidFill>
              <w14:schemeClr w14:val="tx1"/>
            </w14:solidFill>
          </w14:textFill>
        </w:rPr>
        <w:instrText xml:space="preserve"> HYPERLINK \l "_Toc5093" </w:instrText>
      </w:r>
      <w:r>
        <w:rPr>
          <w:rFonts w:hint="eastAsia" w:ascii="Times New Roman" w:hAnsi="Times New Roman" w:eastAsia="宋体" w:cs="Times New Roman"/>
          <w:color w:val="000000" w:themeColor="text1"/>
          <w14:textFill>
            <w14:solidFill>
              <w14:schemeClr w14:val="tx1"/>
            </w14:solidFill>
          </w14:textFill>
        </w:rPr>
        <w:fldChar w:fldCharType="separate"/>
      </w:r>
      <w:bookmarkStart w:id="13" w:name="_Toc85036109"/>
      <w:r>
        <w:rPr>
          <w:rFonts w:hint="eastAsia" w:ascii="Times New Roman" w:hAnsi="Times New Roman" w:eastAsia="宋体" w:cs="Times New Roman"/>
          <w:color w:val="000000" w:themeColor="text1"/>
          <w14:textFill>
            <w14:solidFill>
              <w14:schemeClr w14:val="tx1"/>
            </w14:solidFill>
          </w14:textFill>
        </w:rPr>
        <w:t>三、“十四五”发展主要目标和2035年远景目标</w:t>
      </w:r>
      <w:bookmarkEnd w:id="13"/>
    </w:p>
    <w:p>
      <w:pPr>
        <w:spacing w:line="560" w:lineRule="exact"/>
        <w:ind w:firstLine="643" w:firstLineChars="200"/>
        <w:rPr>
          <w:rFonts w:ascii="仿宋" w:hAnsi="仿宋" w:eastAsia="仿宋" w:cs="Times New Roman"/>
          <w:b/>
          <w:kern w:val="0"/>
          <w:sz w:val="32"/>
          <w:szCs w:val="32"/>
          <w:lang w:val="zh-TW"/>
        </w:rPr>
      </w:pPr>
      <w:bookmarkStart w:id="14" w:name="_Toc21766"/>
      <w:r>
        <w:rPr>
          <w:rFonts w:hint="eastAsia" w:ascii="仿宋" w:hAnsi="仿宋" w:eastAsia="仿宋" w:cs="Times New Roman"/>
          <w:b/>
          <w:kern w:val="0"/>
          <w:sz w:val="32"/>
          <w:szCs w:val="32"/>
        </w:rPr>
        <w:fldChar w:fldCharType="end"/>
      </w:r>
      <w:bookmarkStart w:id="15" w:name="_Toc58424109"/>
      <w:bookmarkStart w:id="16" w:name="_Toc59018935"/>
      <w:r>
        <w:rPr>
          <w:rFonts w:hint="eastAsia" w:ascii="仿宋" w:hAnsi="仿宋" w:eastAsia="仿宋" w:cs="Times New Roman"/>
          <w:b/>
          <w:kern w:val="0"/>
          <w:sz w:val="32"/>
          <w:szCs w:val="32"/>
          <w:lang w:val="zh-TW"/>
        </w:rPr>
        <w:t>（</w:t>
      </w:r>
      <w:r>
        <w:rPr>
          <w:rFonts w:hint="eastAsia" w:ascii="仿宋" w:hAnsi="仿宋" w:eastAsia="仿宋" w:cs="Times New Roman"/>
          <w:b/>
          <w:kern w:val="0"/>
          <w:sz w:val="32"/>
          <w:szCs w:val="32"/>
        </w:rPr>
        <w:t>一</w:t>
      </w:r>
      <w:r>
        <w:rPr>
          <w:rFonts w:hint="eastAsia" w:ascii="仿宋" w:hAnsi="仿宋" w:eastAsia="仿宋" w:cs="Times New Roman"/>
          <w:b/>
          <w:kern w:val="0"/>
          <w:sz w:val="32"/>
          <w:szCs w:val="32"/>
          <w:lang w:val="zh-TW"/>
        </w:rPr>
        <w:t>）“十四五”主要发展目标</w:t>
      </w:r>
      <w:bookmarkEnd w:id="14"/>
      <w:bookmarkEnd w:id="15"/>
      <w:bookmarkEnd w:id="16"/>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到2025年，全面深化“幸福水天堂”建设，构建全域旅游发展的“高原”，形成以引领性重大项目、名片性重大节庆活动、功能性重大平台为支撑的“高峰”，不断提升文化旅游深度融合、创新发展的质量和内涵，优化旅游业供给品质、增强创新动力，大幅提升旅游业对经济发展的贡献度、对满足人民美好生活向往的贡献度、对安全生产和现代治理体系的贡献度，为泰州构建新发展格局做出应有的贡献。</w:t>
      </w:r>
    </w:p>
    <w:p>
      <w:pPr>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1.产业实力更加强劲。</w:t>
      </w:r>
      <w:r>
        <w:rPr>
          <w:rFonts w:hint="eastAsia" w:ascii="仿宋" w:hAnsi="仿宋" w:eastAsia="仿宋" w:cs="Times New Roman"/>
          <w:bCs/>
          <w:kern w:val="0"/>
          <w:sz w:val="32"/>
          <w:szCs w:val="32"/>
        </w:rPr>
        <w:t>“十四五”期间，旅游经济继续保持稳步增长态势，主要旅游经济指标年均增长率10%左右，到2025年，力争全市游客接待总量5000万人次左右、旅游总收入700亿元左右，全市旅游投资额超1000亿元，旅游业综合效益达到全省平均水平。</w:t>
      </w:r>
    </w:p>
    <w:p>
      <w:pPr>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2.品牌创建重点突破。</w:t>
      </w:r>
      <w:r>
        <w:rPr>
          <w:rFonts w:hint="eastAsia" w:ascii="仿宋" w:hAnsi="仿宋" w:eastAsia="仿宋" w:cs="Times New Roman"/>
          <w:bCs/>
          <w:kern w:val="0"/>
          <w:sz w:val="32"/>
          <w:szCs w:val="32"/>
        </w:rPr>
        <w:t>“幸福水天堂”文旅品牌影响力持续提升，品牌内涵不断丰富。以全域旅游示范区创建为龙头，创成省级及以上全域旅游示范区3家，省级及以上旅游度假区2家，4A级及以上景区3家，省级及以上乡村旅游重点村镇5家，省级及以上文化和旅游消费示范单位2家，省级及以上夜间文旅消费集聚区2家，省级及以上旅游休闲街区2家。</w:t>
      </w:r>
    </w:p>
    <w:p>
      <w:pPr>
        <w:overflowPunct w:val="0"/>
        <w:spacing w:line="560" w:lineRule="exact"/>
        <w:ind w:firstLine="643" w:firstLineChars="200"/>
        <w:rPr>
          <w:rFonts w:ascii="仿宋" w:hAnsi="仿宋" w:eastAsia="仿宋" w:cs="Times New Roman"/>
          <w:bCs/>
          <w:color w:val="FF0000"/>
          <w:kern w:val="0"/>
          <w:sz w:val="32"/>
          <w:szCs w:val="32"/>
        </w:rPr>
      </w:pPr>
      <w:r>
        <w:rPr>
          <w:rFonts w:hint="eastAsia" w:ascii="仿宋" w:hAnsi="仿宋" w:eastAsia="仿宋" w:cs="Times New Roman"/>
          <w:b/>
          <w:kern w:val="0"/>
          <w:sz w:val="32"/>
          <w:szCs w:val="32"/>
        </w:rPr>
        <w:t>3.文旅融合基本形成。</w:t>
      </w:r>
      <w:r>
        <w:rPr>
          <w:rFonts w:hint="eastAsia" w:ascii="仿宋" w:hAnsi="仿宋" w:eastAsia="仿宋" w:cs="Times New Roman"/>
          <w:bCs/>
          <w:kern w:val="0"/>
          <w:sz w:val="32"/>
          <w:szCs w:val="32"/>
        </w:rPr>
        <w:t>融合发展自然观光、文化体验、乡村休闲、养生度假等旅游业态，持续推进文化场馆融入旅游要素，努力引导非遗进景区、街区，积极扶持一批实景版旅游演艺、“白天看景、晚上看戏”等沉浸式体验型文旅产品，重点培育1—2个具有区域品牌知名度的旅游演艺精品项目，积极打造一批小剧场、微演艺。</w:t>
      </w:r>
    </w:p>
    <w:p>
      <w:pPr>
        <w:overflowPunct w:val="0"/>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4.旅游节庆整合升级。</w:t>
      </w:r>
      <w:r>
        <w:rPr>
          <w:rFonts w:hint="eastAsia" w:ascii="仿宋" w:hAnsi="仿宋" w:eastAsia="仿宋" w:cs="Times New Roman"/>
          <w:bCs/>
          <w:kern w:val="0"/>
          <w:sz w:val="32"/>
          <w:szCs w:val="32"/>
        </w:rPr>
        <w:t>围绕“幸福水天堂”城市名片，塑造文旅品牌形象，构建“2+6+N”的节庆活动体系。重点突出市级主办的水城水乡国际旅游节、梅兰芳艺术节，各区市重点打造中国姜堰溱潼会船节、兴化千垛菜花旅游节、凤城河公开水域游泳赛、中国（泰兴）银杏节、靖江马洲旅游节、汤包美食文化节等，其他特色节庆活动为补充的四季旅游节庆活动。</w:t>
      </w:r>
    </w:p>
    <w:p>
      <w:pPr>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5.惠民作用更加显现。</w:t>
      </w:r>
      <w:r>
        <w:rPr>
          <w:rFonts w:hint="eastAsia" w:ascii="仿宋" w:hAnsi="仿宋" w:eastAsia="仿宋" w:cs="Times New Roman"/>
          <w:bCs/>
          <w:kern w:val="0"/>
          <w:sz w:val="32"/>
          <w:szCs w:val="32"/>
        </w:rPr>
        <w:t>着眼于提供“更丰富的精神文化生活”，努力推出更多高质量旅游产品及特色品牌，切实增强人民群众获得感、幸福感、安全感，全面提升游客满意度。到2025年游客满意度达到85%以上，新增旅游就业人数2000人以上，人均年出游次数达到6次以上。</w:t>
      </w:r>
    </w:p>
    <w:p>
      <w:pPr>
        <w:ind w:firstLine="600" w:firstLineChars="200"/>
        <w:jc w:val="center"/>
        <w:rPr>
          <w:rFonts w:ascii="仿宋" w:hAnsi="仿宋" w:eastAsia="仿宋" w:cs="Times New Roman"/>
          <w:bCs/>
          <w:kern w:val="0"/>
          <w:sz w:val="30"/>
          <w:szCs w:val="30"/>
        </w:rPr>
      </w:pPr>
      <w:r>
        <w:rPr>
          <w:rFonts w:hint="eastAsia" w:ascii="仿宋" w:hAnsi="仿宋" w:eastAsia="仿宋" w:cs="Times New Roman"/>
          <w:bCs/>
          <w:kern w:val="0"/>
          <w:sz w:val="30"/>
          <w:szCs w:val="30"/>
        </w:rPr>
        <w:t>表2 泰州市旅游业“十四五”高质量发展主要指标</w:t>
      </w:r>
      <w:bookmarkStart w:id="17" w:name="_Toc58424110"/>
      <w:bookmarkStart w:id="18" w:name="_Toc59018936"/>
      <w:bookmarkStart w:id="19" w:name="_Toc5476"/>
    </w:p>
    <w:tbl>
      <w:tblPr>
        <w:tblStyle w:val="20"/>
        <w:tblW w:w="9039" w:type="dxa"/>
        <w:tblInd w:w="0" w:type="dxa"/>
        <w:tblLayout w:type="fixed"/>
        <w:tblCellMar>
          <w:top w:w="0" w:type="dxa"/>
          <w:left w:w="0" w:type="dxa"/>
          <w:bottom w:w="0" w:type="dxa"/>
          <w:right w:w="0" w:type="dxa"/>
        </w:tblCellMar>
      </w:tblPr>
      <w:tblGrid>
        <w:gridCol w:w="5070"/>
        <w:gridCol w:w="1842"/>
        <w:gridCol w:w="2127"/>
      </w:tblGrid>
      <w:tr>
        <w:tblPrEx>
          <w:tblCellMar>
            <w:top w:w="0" w:type="dxa"/>
            <w:left w:w="0" w:type="dxa"/>
            <w:bottom w:w="0" w:type="dxa"/>
            <w:right w:w="0" w:type="dxa"/>
          </w:tblCellMar>
        </w:tblPrEx>
        <w:trPr>
          <w:trHeight w:val="510" w:hRule="atLeast"/>
        </w:trPr>
        <w:tc>
          <w:tcPr>
            <w:tcW w:w="5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指标</w:t>
            </w:r>
          </w:p>
        </w:tc>
        <w:tc>
          <w:tcPr>
            <w:tcW w:w="1842" w:type="dxa"/>
            <w:tcBorders>
              <w:top w:val="single" w:color="000000" w:sz="6" w:space="0"/>
              <w:left w:val="single" w:color="000000" w:sz="6" w:space="0"/>
              <w:bottom w:val="single" w:color="000000" w:sz="6" w:space="0"/>
              <w:right w:val="single" w:color="000000" w:sz="6" w:space="0"/>
            </w:tcBorders>
            <w:shd w:val="clear" w:color="000000" w:fill="FFFFFF"/>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2019年</w:t>
            </w:r>
          </w:p>
        </w:tc>
        <w:tc>
          <w:tcPr>
            <w:tcW w:w="2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2025年</w:t>
            </w:r>
          </w:p>
        </w:tc>
      </w:tr>
      <w:tr>
        <w:tblPrEx>
          <w:tblCellMar>
            <w:top w:w="0" w:type="dxa"/>
            <w:left w:w="0" w:type="dxa"/>
            <w:bottom w:w="0" w:type="dxa"/>
            <w:right w:w="0" w:type="dxa"/>
          </w:tblCellMar>
        </w:tblPrEx>
        <w:trPr>
          <w:trHeight w:val="510" w:hRule="atLeast"/>
        </w:trPr>
        <w:tc>
          <w:tcPr>
            <w:tcW w:w="5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rPr>
                <w:rFonts w:ascii="Times New Roman" w:hAnsi="Times New Roman" w:eastAsia="宋体" w:cs="Times New Roman"/>
                <w:szCs w:val="21"/>
              </w:rPr>
            </w:pPr>
            <w:r>
              <w:rPr>
                <w:rFonts w:hint="eastAsia" w:ascii="Times New Roman" w:hAnsi="Times New Roman" w:eastAsia="宋体"/>
                <w:bCs/>
                <w:sz w:val="24"/>
              </w:rPr>
              <w:t>1．</w:t>
            </w:r>
            <w:r>
              <w:rPr>
                <w:rFonts w:ascii="Times New Roman" w:hAnsi="Times New Roman" w:eastAsia="宋体"/>
                <w:bCs/>
                <w:sz w:val="24"/>
              </w:rPr>
              <w:t>游客总人次</w:t>
            </w:r>
            <w:r>
              <w:rPr>
                <w:rFonts w:hint="eastAsia" w:ascii="Times New Roman" w:hAnsi="Times New Roman" w:eastAsia="宋体"/>
                <w:bCs/>
                <w:sz w:val="24"/>
              </w:rPr>
              <w:t>（万</w:t>
            </w:r>
            <w:r>
              <w:rPr>
                <w:rFonts w:ascii="Times New Roman" w:hAnsi="Times New Roman" w:eastAsia="宋体"/>
                <w:bCs/>
                <w:sz w:val="24"/>
              </w:rPr>
              <w:t>人次）</w:t>
            </w: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00" w:lineRule="exact"/>
              <w:jc w:val="center"/>
              <w:rPr>
                <w:rFonts w:ascii="Times New Roman" w:hAnsi="Times New Roman" w:eastAsia="宋体"/>
                <w:bCs/>
                <w:sz w:val="24"/>
              </w:rPr>
            </w:pPr>
            <w:r>
              <w:rPr>
                <w:rFonts w:hint="eastAsia" w:ascii="Times New Roman" w:hAnsi="Times New Roman" w:eastAsia="宋体" w:cs="Times New Roman"/>
                <w:szCs w:val="21"/>
              </w:rPr>
              <w:t>3156.72</w:t>
            </w:r>
          </w:p>
        </w:tc>
        <w:tc>
          <w:tcPr>
            <w:tcW w:w="2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jc w:val="center"/>
              <w:rPr>
                <w:rFonts w:ascii="Times New Roman" w:hAnsi="Times New Roman" w:eastAsia="宋体"/>
                <w:bCs/>
                <w:sz w:val="24"/>
              </w:rPr>
            </w:pPr>
            <w:r>
              <w:rPr>
                <w:rFonts w:hint="eastAsia" w:ascii="Times New Roman" w:hAnsi="Times New Roman" w:eastAsia="宋体" w:cs="Times New Roman"/>
                <w:szCs w:val="21"/>
              </w:rPr>
              <w:t>5000</w:t>
            </w:r>
          </w:p>
        </w:tc>
      </w:tr>
      <w:tr>
        <w:tblPrEx>
          <w:tblCellMar>
            <w:top w:w="0" w:type="dxa"/>
            <w:left w:w="0" w:type="dxa"/>
            <w:bottom w:w="0" w:type="dxa"/>
            <w:right w:w="0" w:type="dxa"/>
          </w:tblCellMar>
        </w:tblPrEx>
        <w:trPr>
          <w:trHeight w:val="510" w:hRule="atLeast"/>
        </w:trPr>
        <w:tc>
          <w:tcPr>
            <w:tcW w:w="5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rPr>
                <w:rFonts w:ascii="Times New Roman" w:hAnsi="Times New Roman" w:eastAsia="宋体" w:cs="Times New Roman"/>
                <w:szCs w:val="21"/>
              </w:rPr>
            </w:pPr>
            <w:r>
              <w:rPr>
                <w:rFonts w:hint="eastAsia" w:ascii="Times New Roman" w:hAnsi="Times New Roman" w:eastAsia="宋体"/>
                <w:bCs/>
                <w:sz w:val="24"/>
              </w:rPr>
              <w:t>2．</w:t>
            </w:r>
            <w:r>
              <w:rPr>
                <w:rFonts w:ascii="Times New Roman" w:hAnsi="Times New Roman" w:eastAsia="宋体"/>
                <w:bCs/>
                <w:sz w:val="24"/>
              </w:rPr>
              <w:t>旅游业</w:t>
            </w:r>
            <w:r>
              <w:rPr>
                <w:rFonts w:hint="eastAsia" w:ascii="Times New Roman" w:hAnsi="Times New Roman" w:eastAsia="宋体"/>
                <w:bCs/>
                <w:sz w:val="24"/>
              </w:rPr>
              <w:t>总</w:t>
            </w:r>
            <w:r>
              <w:rPr>
                <w:rFonts w:ascii="Times New Roman" w:hAnsi="Times New Roman" w:eastAsia="宋体"/>
                <w:bCs/>
                <w:sz w:val="24"/>
              </w:rPr>
              <w:t>收入</w:t>
            </w:r>
            <w:r>
              <w:rPr>
                <w:rFonts w:hint="eastAsia" w:ascii="Times New Roman" w:hAnsi="Times New Roman" w:eastAsia="宋体"/>
                <w:bCs/>
                <w:sz w:val="24"/>
              </w:rPr>
              <w:t>（亿元）</w:t>
            </w: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00" w:lineRule="exact"/>
              <w:jc w:val="center"/>
              <w:rPr>
                <w:rFonts w:ascii="Times New Roman" w:hAnsi="Times New Roman" w:eastAsia="宋体"/>
                <w:bCs/>
                <w:sz w:val="24"/>
              </w:rPr>
            </w:pPr>
            <w:r>
              <w:rPr>
                <w:rFonts w:hint="eastAsia" w:ascii="Times New Roman" w:hAnsi="Times New Roman" w:eastAsia="宋体" w:cs="Times New Roman"/>
                <w:szCs w:val="21"/>
              </w:rPr>
              <w:t>414.03</w:t>
            </w:r>
          </w:p>
        </w:tc>
        <w:tc>
          <w:tcPr>
            <w:tcW w:w="2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jc w:val="center"/>
              <w:rPr>
                <w:rFonts w:ascii="Times New Roman" w:hAnsi="Times New Roman" w:eastAsia="方正黑体_GBK"/>
                <w:bCs/>
                <w:sz w:val="24"/>
              </w:rPr>
            </w:pPr>
            <w:r>
              <w:rPr>
                <w:rFonts w:hint="eastAsia" w:ascii="Times New Roman" w:hAnsi="Times New Roman" w:eastAsia="宋体" w:cs="Times New Roman"/>
                <w:szCs w:val="21"/>
              </w:rPr>
              <w:t>700</w:t>
            </w:r>
          </w:p>
        </w:tc>
      </w:tr>
      <w:tr>
        <w:tblPrEx>
          <w:tblCellMar>
            <w:top w:w="0" w:type="dxa"/>
            <w:left w:w="0" w:type="dxa"/>
            <w:bottom w:w="0" w:type="dxa"/>
            <w:right w:w="0" w:type="dxa"/>
          </w:tblCellMar>
        </w:tblPrEx>
        <w:trPr>
          <w:trHeight w:val="386" w:hRule="atLeast"/>
        </w:trPr>
        <w:tc>
          <w:tcPr>
            <w:tcW w:w="5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rPr>
                <w:rFonts w:ascii="Times New Roman" w:hAnsi="Times New Roman" w:eastAsia="宋体"/>
                <w:bCs/>
                <w:sz w:val="24"/>
              </w:rPr>
            </w:pPr>
            <w:r>
              <w:rPr>
                <w:rFonts w:hint="eastAsia" w:ascii="Times New Roman" w:hAnsi="Times New Roman" w:eastAsia="宋体"/>
                <w:bCs/>
                <w:sz w:val="24"/>
              </w:rPr>
              <w:t>3．</w:t>
            </w:r>
            <w:r>
              <w:rPr>
                <w:rFonts w:ascii="Times New Roman" w:hAnsi="Times New Roman" w:eastAsia="宋体"/>
                <w:bCs/>
                <w:sz w:val="24"/>
              </w:rPr>
              <w:t>人均外出旅游</w:t>
            </w:r>
            <w:r>
              <w:rPr>
                <w:rFonts w:hint="eastAsia" w:ascii="Times New Roman" w:hAnsi="Times New Roman" w:eastAsia="宋体"/>
                <w:bCs/>
                <w:sz w:val="24"/>
              </w:rPr>
              <w:t>次数</w:t>
            </w: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Times New Roman" w:hAnsi="Times New Roman" w:eastAsia="宋体"/>
                <w:bCs/>
                <w:sz w:val="24"/>
              </w:rPr>
            </w:pPr>
            <w:r>
              <w:rPr>
                <w:rFonts w:hint="eastAsia" w:ascii="Times New Roman" w:hAnsi="Times New Roman" w:eastAsia="宋体"/>
                <w:bCs/>
                <w:sz w:val="24"/>
              </w:rPr>
              <w:t>5</w:t>
            </w:r>
          </w:p>
        </w:tc>
        <w:tc>
          <w:tcPr>
            <w:tcW w:w="2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Times New Roman" w:hAnsi="Times New Roman" w:eastAsia="方正黑体_GBK"/>
                <w:bCs/>
                <w:sz w:val="24"/>
              </w:rPr>
            </w:pPr>
            <w:r>
              <w:rPr>
                <w:rFonts w:ascii="Times New Roman" w:hAnsi="Times New Roman" w:eastAsia="宋体"/>
                <w:bCs/>
                <w:sz w:val="24"/>
              </w:rPr>
              <w:t>6</w:t>
            </w:r>
          </w:p>
        </w:tc>
      </w:tr>
      <w:tr>
        <w:tblPrEx>
          <w:tblCellMar>
            <w:top w:w="0" w:type="dxa"/>
            <w:left w:w="0" w:type="dxa"/>
            <w:bottom w:w="0" w:type="dxa"/>
            <w:right w:w="0" w:type="dxa"/>
          </w:tblCellMar>
        </w:tblPrEx>
        <w:trPr>
          <w:trHeight w:val="510" w:hRule="atLeast"/>
        </w:trPr>
        <w:tc>
          <w:tcPr>
            <w:tcW w:w="5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rPr>
                <w:rFonts w:ascii="Times New Roman" w:hAnsi="Times New Roman" w:eastAsia="宋体"/>
                <w:bCs/>
                <w:sz w:val="24"/>
              </w:rPr>
            </w:pPr>
            <w:r>
              <w:rPr>
                <w:rFonts w:hint="eastAsia" w:ascii="Times New Roman" w:hAnsi="Times New Roman" w:eastAsia="宋体"/>
                <w:bCs/>
                <w:sz w:val="24"/>
              </w:rPr>
              <w:t>4．省级及以上</w:t>
            </w:r>
            <w:r>
              <w:rPr>
                <w:rFonts w:ascii="Times New Roman" w:hAnsi="Times New Roman" w:eastAsia="宋体"/>
                <w:bCs/>
                <w:sz w:val="24"/>
              </w:rPr>
              <w:t>全域旅游示范区</w:t>
            </w: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1</w:t>
            </w:r>
          </w:p>
        </w:tc>
        <w:tc>
          <w:tcPr>
            <w:tcW w:w="2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jc w:val="center"/>
              <w:rPr>
                <w:rFonts w:ascii="Times New Roman" w:hAnsi="Times New Roman" w:eastAsia="方正黑体_GBK"/>
                <w:bCs/>
                <w:sz w:val="24"/>
              </w:rPr>
            </w:pPr>
            <w:r>
              <w:rPr>
                <w:rFonts w:hint="eastAsia" w:ascii="Times New Roman" w:hAnsi="Times New Roman" w:eastAsia="宋体"/>
                <w:bCs/>
                <w:sz w:val="24"/>
              </w:rPr>
              <w:t>4</w:t>
            </w:r>
          </w:p>
        </w:tc>
      </w:tr>
      <w:tr>
        <w:tblPrEx>
          <w:tblCellMar>
            <w:top w:w="0" w:type="dxa"/>
            <w:left w:w="0" w:type="dxa"/>
            <w:bottom w:w="0" w:type="dxa"/>
            <w:right w:w="0" w:type="dxa"/>
          </w:tblCellMar>
        </w:tblPrEx>
        <w:trPr>
          <w:trHeight w:val="510" w:hRule="atLeast"/>
        </w:trPr>
        <w:tc>
          <w:tcPr>
            <w:tcW w:w="5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rPr>
                <w:rFonts w:ascii="Times New Roman" w:hAnsi="Times New Roman" w:eastAsia="宋体"/>
                <w:bCs/>
                <w:sz w:val="24"/>
              </w:rPr>
            </w:pPr>
            <w:r>
              <w:rPr>
                <w:rFonts w:hint="eastAsia" w:ascii="Times New Roman" w:hAnsi="Times New Roman" w:eastAsia="宋体"/>
                <w:bCs/>
                <w:sz w:val="24"/>
              </w:rPr>
              <w:t>5．4A级及以上旅游景区</w:t>
            </w: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11</w:t>
            </w:r>
          </w:p>
        </w:tc>
        <w:tc>
          <w:tcPr>
            <w:tcW w:w="2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jc w:val="center"/>
              <w:rPr>
                <w:rFonts w:ascii="Times New Roman" w:hAnsi="Times New Roman" w:eastAsia="方正黑体_GBK"/>
                <w:bCs/>
                <w:sz w:val="24"/>
              </w:rPr>
            </w:pPr>
            <w:r>
              <w:rPr>
                <w:rFonts w:hint="eastAsia" w:ascii="Times New Roman" w:hAnsi="Times New Roman" w:eastAsia="方正黑体_GBK"/>
                <w:bCs/>
                <w:sz w:val="24"/>
              </w:rPr>
              <w:t>14</w:t>
            </w:r>
          </w:p>
        </w:tc>
      </w:tr>
      <w:tr>
        <w:tblPrEx>
          <w:tblCellMar>
            <w:top w:w="0" w:type="dxa"/>
            <w:left w:w="0" w:type="dxa"/>
            <w:bottom w:w="0" w:type="dxa"/>
            <w:right w:w="0" w:type="dxa"/>
          </w:tblCellMar>
        </w:tblPrEx>
        <w:trPr>
          <w:trHeight w:val="510" w:hRule="atLeast"/>
        </w:trPr>
        <w:tc>
          <w:tcPr>
            <w:tcW w:w="5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rPr>
                <w:rFonts w:ascii="Times New Roman" w:hAnsi="Times New Roman" w:eastAsia="宋体"/>
                <w:bCs/>
                <w:sz w:val="24"/>
              </w:rPr>
            </w:pPr>
            <w:r>
              <w:rPr>
                <w:rFonts w:hint="eastAsia" w:ascii="Times New Roman" w:hAnsi="Times New Roman" w:eastAsia="宋体"/>
                <w:bCs/>
                <w:sz w:val="24"/>
              </w:rPr>
              <w:t>6．省级及以上旅游度假区</w:t>
            </w: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1</w:t>
            </w:r>
          </w:p>
        </w:tc>
        <w:tc>
          <w:tcPr>
            <w:tcW w:w="2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jc w:val="center"/>
              <w:rPr>
                <w:rFonts w:ascii="Times New Roman" w:hAnsi="Times New Roman" w:eastAsia="方正黑体_GBK"/>
                <w:bCs/>
                <w:sz w:val="24"/>
              </w:rPr>
            </w:pPr>
            <w:r>
              <w:rPr>
                <w:rFonts w:hint="eastAsia" w:ascii="Times New Roman" w:hAnsi="Times New Roman" w:eastAsia="宋体"/>
                <w:bCs/>
                <w:sz w:val="24"/>
              </w:rPr>
              <w:t>3</w:t>
            </w:r>
          </w:p>
        </w:tc>
      </w:tr>
      <w:tr>
        <w:tblPrEx>
          <w:tblCellMar>
            <w:top w:w="0" w:type="dxa"/>
            <w:left w:w="0" w:type="dxa"/>
            <w:bottom w:w="0" w:type="dxa"/>
            <w:right w:w="0" w:type="dxa"/>
          </w:tblCellMar>
        </w:tblPrEx>
        <w:trPr>
          <w:trHeight w:val="510" w:hRule="atLeast"/>
        </w:trPr>
        <w:tc>
          <w:tcPr>
            <w:tcW w:w="5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rPr>
                <w:rFonts w:ascii="Times New Roman" w:hAnsi="Times New Roman" w:eastAsia="宋体"/>
                <w:bCs/>
                <w:sz w:val="24"/>
              </w:rPr>
            </w:pPr>
            <w:r>
              <w:rPr>
                <w:rFonts w:hint="eastAsia" w:ascii="Times New Roman" w:hAnsi="Times New Roman" w:eastAsia="宋体"/>
                <w:bCs/>
                <w:sz w:val="24"/>
              </w:rPr>
              <w:t>7．省级及以上乡村旅游重点村镇</w:t>
            </w: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5</w:t>
            </w:r>
          </w:p>
        </w:tc>
        <w:tc>
          <w:tcPr>
            <w:tcW w:w="2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jc w:val="center"/>
              <w:rPr>
                <w:rFonts w:ascii="Times New Roman" w:hAnsi="Times New Roman" w:eastAsia="方正黑体_GBK"/>
                <w:bCs/>
                <w:sz w:val="24"/>
              </w:rPr>
            </w:pPr>
            <w:r>
              <w:rPr>
                <w:rFonts w:hint="eastAsia" w:ascii="Times New Roman" w:hAnsi="Times New Roman" w:eastAsia="宋体"/>
                <w:bCs/>
                <w:sz w:val="24"/>
              </w:rPr>
              <w:t>10</w:t>
            </w:r>
          </w:p>
        </w:tc>
      </w:tr>
      <w:tr>
        <w:tblPrEx>
          <w:tblCellMar>
            <w:top w:w="0" w:type="dxa"/>
            <w:left w:w="0" w:type="dxa"/>
            <w:bottom w:w="0" w:type="dxa"/>
            <w:right w:w="0" w:type="dxa"/>
          </w:tblCellMar>
        </w:tblPrEx>
        <w:trPr>
          <w:trHeight w:val="510" w:hRule="atLeast"/>
        </w:trPr>
        <w:tc>
          <w:tcPr>
            <w:tcW w:w="5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rPr>
                <w:rFonts w:ascii="Times New Roman" w:hAnsi="Times New Roman" w:eastAsia="宋体"/>
                <w:bCs/>
                <w:sz w:val="24"/>
              </w:rPr>
            </w:pPr>
            <w:r>
              <w:rPr>
                <w:rFonts w:hint="eastAsia" w:ascii="Times New Roman" w:hAnsi="Times New Roman" w:eastAsia="宋体"/>
                <w:bCs/>
                <w:sz w:val="24"/>
              </w:rPr>
              <w:t>8．</w:t>
            </w:r>
            <w:r>
              <w:rPr>
                <w:rFonts w:ascii="Times New Roman" w:hAnsi="Times New Roman" w:eastAsia="宋体"/>
                <w:bCs/>
                <w:sz w:val="24"/>
              </w:rPr>
              <w:t>省级</w:t>
            </w:r>
            <w:r>
              <w:rPr>
                <w:rFonts w:hint="eastAsia" w:ascii="Times New Roman" w:hAnsi="Times New Roman" w:eastAsia="宋体"/>
                <w:bCs/>
                <w:sz w:val="24"/>
              </w:rPr>
              <w:t>及</w:t>
            </w:r>
            <w:r>
              <w:rPr>
                <w:rFonts w:ascii="Times New Roman" w:hAnsi="Times New Roman" w:eastAsia="宋体"/>
                <w:bCs/>
                <w:sz w:val="24"/>
              </w:rPr>
              <w:t>以上</w:t>
            </w:r>
            <w:r>
              <w:rPr>
                <w:rFonts w:hint="eastAsia" w:ascii="Times New Roman" w:hAnsi="Times New Roman" w:eastAsia="宋体"/>
                <w:bCs/>
                <w:sz w:val="24"/>
              </w:rPr>
              <w:t>文化和旅游消费示范单位</w:t>
            </w: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w:t>
            </w:r>
          </w:p>
        </w:tc>
        <w:tc>
          <w:tcPr>
            <w:tcW w:w="2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2</w:t>
            </w:r>
          </w:p>
        </w:tc>
      </w:tr>
      <w:tr>
        <w:tblPrEx>
          <w:tblCellMar>
            <w:top w:w="0" w:type="dxa"/>
            <w:left w:w="0" w:type="dxa"/>
            <w:bottom w:w="0" w:type="dxa"/>
            <w:right w:w="0" w:type="dxa"/>
          </w:tblCellMar>
        </w:tblPrEx>
        <w:trPr>
          <w:trHeight w:val="510" w:hRule="atLeast"/>
        </w:trPr>
        <w:tc>
          <w:tcPr>
            <w:tcW w:w="5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rPr>
                <w:rFonts w:ascii="Times New Roman" w:hAnsi="Times New Roman" w:eastAsia="宋体"/>
                <w:bCs/>
                <w:sz w:val="24"/>
              </w:rPr>
            </w:pPr>
            <w:r>
              <w:rPr>
                <w:rFonts w:hint="eastAsia" w:ascii="Times New Roman" w:hAnsi="Times New Roman" w:eastAsia="宋体"/>
                <w:bCs/>
                <w:sz w:val="24"/>
              </w:rPr>
              <w:t>9．</w:t>
            </w:r>
            <w:r>
              <w:rPr>
                <w:rFonts w:ascii="Times New Roman" w:hAnsi="Times New Roman" w:eastAsia="宋体"/>
                <w:bCs/>
                <w:sz w:val="24"/>
              </w:rPr>
              <w:t>省级</w:t>
            </w:r>
            <w:r>
              <w:rPr>
                <w:rFonts w:hint="eastAsia" w:ascii="Times New Roman" w:hAnsi="Times New Roman" w:eastAsia="宋体"/>
                <w:bCs/>
                <w:sz w:val="24"/>
              </w:rPr>
              <w:t>及</w:t>
            </w:r>
            <w:r>
              <w:rPr>
                <w:rFonts w:ascii="Times New Roman" w:hAnsi="Times New Roman" w:eastAsia="宋体"/>
                <w:bCs/>
                <w:sz w:val="24"/>
              </w:rPr>
              <w:t>以上夜间文旅消费集聚区</w:t>
            </w: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w:t>
            </w:r>
          </w:p>
        </w:tc>
        <w:tc>
          <w:tcPr>
            <w:tcW w:w="2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2</w:t>
            </w:r>
          </w:p>
        </w:tc>
      </w:tr>
      <w:tr>
        <w:tblPrEx>
          <w:tblCellMar>
            <w:top w:w="0" w:type="dxa"/>
            <w:left w:w="0" w:type="dxa"/>
            <w:bottom w:w="0" w:type="dxa"/>
            <w:right w:w="0" w:type="dxa"/>
          </w:tblCellMar>
        </w:tblPrEx>
        <w:trPr>
          <w:trHeight w:val="510" w:hRule="atLeast"/>
        </w:trPr>
        <w:tc>
          <w:tcPr>
            <w:tcW w:w="5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tabs>
                <w:tab w:val="right" w:pos="4601"/>
              </w:tabs>
              <w:spacing w:line="400" w:lineRule="exact"/>
              <w:rPr>
                <w:rFonts w:ascii="Times New Roman" w:hAnsi="Times New Roman" w:eastAsia="宋体"/>
                <w:bCs/>
                <w:sz w:val="24"/>
              </w:rPr>
            </w:pPr>
            <w:r>
              <w:rPr>
                <w:rFonts w:ascii="Times New Roman" w:hAnsi="Times New Roman" w:eastAsia="宋体"/>
                <w:bCs/>
                <w:sz w:val="24"/>
              </w:rPr>
              <w:t>1</w:t>
            </w:r>
            <w:r>
              <w:rPr>
                <w:rFonts w:hint="eastAsia" w:ascii="Times New Roman" w:hAnsi="Times New Roman" w:eastAsia="宋体"/>
                <w:bCs/>
                <w:sz w:val="24"/>
              </w:rPr>
              <w:t>0</w:t>
            </w:r>
            <w:r>
              <w:rPr>
                <w:rFonts w:ascii="Times New Roman" w:hAnsi="Times New Roman" w:eastAsia="宋体"/>
                <w:bCs/>
                <w:sz w:val="24"/>
              </w:rPr>
              <w:t>．省级</w:t>
            </w:r>
            <w:r>
              <w:rPr>
                <w:rFonts w:hint="eastAsia" w:ascii="Times New Roman" w:hAnsi="Times New Roman" w:eastAsia="宋体"/>
                <w:bCs/>
                <w:sz w:val="24"/>
              </w:rPr>
              <w:t>及</w:t>
            </w:r>
            <w:r>
              <w:rPr>
                <w:rFonts w:ascii="Times New Roman" w:hAnsi="Times New Roman" w:eastAsia="宋体"/>
                <w:bCs/>
                <w:sz w:val="24"/>
              </w:rPr>
              <w:t>以上</w:t>
            </w:r>
            <w:r>
              <w:rPr>
                <w:rFonts w:hint="eastAsia" w:ascii="Times New Roman" w:hAnsi="Times New Roman" w:eastAsia="宋体"/>
                <w:bCs/>
                <w:sz w:val="24"/>
              </w:rPr>
              <w:t>旅游</w:t>
            </w:r>
            <w:r>
              <w:rPr>
                <w:rFonts w:ascii="Times New Roman" w:hAnsi="Times New Roman" w:eastAsia="宋体"/>
                <w:bCs/>
                <w:sz w:val="24"/>
              </w:rPr>
              <w:t>休闲街区</w:t>
            </w: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w:t>
            </w:r>
          </w:p>
        </w:tc>
        <w:tc>
          <w:tcPr>
            <w:tcW w:w="2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jc w:val="center"/>
              <w:rPr>
                <w:rFonts w:ascii="Times New Roman" w:hAnsi="Times New Roman" w:eastAsia="方正黑体_GBK"/>
                <w:bCs/>
                <w:sz w:val="24"/>
              </w:rPr>
            </w:pPr>
            <w:r>
              <w:rPr>
                <w:rFonts w:hint="eastAsia" w:ascii="Times New Roman" w:hAnsi="Times New Roman" w:eastAsia="宋体"/>
                <w:bCs/>
                <w:sz w:val="24"/>
              </w:rPr>
              <w:t>2</w:t>
            </w:r>
          </w:p>
        </w:tc>
      </w:tr>
      <w:tr>
        <w:tblPrEx>
          <w:tblCellMar>
            <w:top w:w="0" w:type="dxa"/>
            <w:left w:w="0" w:type="dxa"/>
            <w:bottom w:w="0" w:type="dxa"/>
            <w:right w:w="0" w:type="dxa"/>
          </w:tblCellMar>
        </w:tblPrEx>
        <w:trPr>
          <w:trHeight w:val="510" w:hRule="atLeast"/>
        </w:trPr>
        <w:tc>
          <w:tcPr>
            <w:tcW w:w="5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rPr>
                <w:rFonts w:ascii="Times New Roman" w:hAnsi="Times New Roman" w:eastAsia="宋体"/>
                <w:bCs/>
                <w:sz w:val="24"/>
              </w:rPr>
            </w:pPr>
            <w:r>
              <w:rPr>
                <w:rFonts w:hint="eastAsia" w:ascii="Times New Roman" w:hAnsi="Times New Roman" w:eastAsia="宋体"/>
                <w:bCs/>
                <w:sz w:val="24"/>
                <w:lang w:val="zh-CN"/>
              </w:rPr>
              <w:t>11</w:t>
            </w:r>
            <w:r>
              <w:rPr>
                <w:rFonts w:ascii="Times New Roman" w:hAnsi="Times New Roman" w:eastAsia="宋体"/>
                <w:bCs/>
                <w:sz w:val="24"/>
              </w:rPr>
              <w:t>．</w:t>
            </w:r>
            <w:r>
              <w:rPr>
                <w:rFonts w:ascii="Times New Roman" w:hAnsi="Times New Roman" w:eastAsia="宋体"/>
                <w:bCs/>
                <w:spacing w:val="-4"/>
                <w:sz w:val="24"/>
              </w:rPr>
              <w:t>纳入江苏智慧文旅平台监管的重点文旅场所</w:t>
            </w: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w:t>
            </w:r>
          </w:p>
        </w:tc>
        <w:tc>
          <w:tcPr>
            <w:tcW w:w="2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jc w:val="center"/>
              <w:rPr>
                <w:rFonts w:ascii="Times New Roman" w:hAnsi="Times New Roman" w:eastAsia="方正黑体_GBK"/>
                <w:bCs/>
                <w:sz w:val="24"/>
              </w:rPr>
            </w:pPr>
            <w:r>
              <w:rPr>
                <w:rFonts w:hint="eastAsia" w:ascii="Times New Roman" w:hAnsi="Times New Roman" w:eastAsia="宋体"/>
                <w:bCs/>
                <w:sz w:val="24"/>
              </w:rPr>
              <w:t>15个以上</w:t>
            </w:r>
          </w:p>
        </w:tc>
      </w:tr>
      <w:tr>
        <w:tblPrEx>
          <w:tblCellMar>
            <w:top w:w="0" w:type="dxa"/>
            <w:left w:w="0" w:type="dxa"/>
            <w:bottom w:w="0" w:type="dxa"/>
            <w:right w:w="0" w:type="dxa"/>
          </w:tblCellMar>
        </w:tblPrEx>
        <w:trPr>
          <w:trHeight w:val="510" w:hRule="atLeast"/>
        </w:trPr>
        <w:tc>
          <w:tcPr>
            <w:tcW w:w="50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rPr>
                <w:rFonts w:ascii="Times New Roman" w:hAnsi="Times New Roman" w:eastAsia="宋体"/>
                <w:bCs/>
                <w:sz w:val="24"/>
              </w:rPr>
            </w:pPr>
            <w:r>
              <w:rPr>
                <w:rFonts w:hint="eastAsia" w:ascii="Times New Roman" w:hAnsi="Times New Roman" w:eastAsia="宋体"/>
                <w:bCs/>
                <w:spacing w:val="-4"/>
                <w:sz w:val="24"/>
              </w:rPr>
              <w:t>12</w:t>
            </w:r>
            <w:r>
              <w:rPr>
                <w:rFonts w:ascii="Times New Roman" w:hAnsi="Times New Roman" w:eastAsia="宋体"/>
                <w:bCs/>
                <w:sz w:val="24"/>
              </w:rPr>
              <w:t>．</w:t>
            </w:r>
            <w:r>
              <w:rPr>
                <w:rFonts w:hint="eastAsia" w:ascii="Times New Roman" w:hAnsi="Times New Roman" w:eastAsia="宋体"/>
                <w:bCs/>
                <w:spacing w:val="-4"/>
                <w:sz w:val="24"/>
              </w:rPr>
              <w:t>全市</w:t>
            </w:r>
            <w:r>
              <w:rPr>
                <w:rFonts w:ascii="Times New Roman" w:hAnsi="Times New Roman" w:eastAsia="宋体"/>
                <w:bCs/>
                <w:spacing w:val="-4"/>
                <w:sz w:val="24"/>
              </w:rPr>
              <w:t>游客满意度</w:t>
            </w: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00" w:lineRule="exact"/>
              <w:jc w:val="center"/>
              <w:rPr>
                <w:rFonts w:ascii="Times New Roman" w:hAnsi="Times New Roman" w:eastAsia="宋体"/>
                <w:bCs/>
                <w:spacing w:val="-10"/>
                <w:sz w:val="24"/>
              </w:rPr>
            </w:pPr>
            <w:r>
              <w:rPr>
                <w:rFonts w:hint="eastAsia" w:ascii="Times New Roman" w:hAnsi="Times New Roman" w:eastAsia="宋体"/>
                <w:bCs/>
                <w:spacing w:val="-10"/>
                <w:sz w:val="24"/>
              </w:rPr>
              <w:t>81.82</w:t>
            </w:r>
          </w:p>
        </w:tc>
        <w:tc>
          <w:tcPr>
            <w:tcW w:w="21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exact"/>
              <w:jc w:val="center"/>
              <w:rPr>
                <w:rFonts w:ascii="Times New Roman" w:hAnsi="Times New Roman" w:eastAsia="宋体"/>
                <w:bCs/>
                <w:sz w:val="24"/>
              </w:rPr>
            </w:pPr>
            <w:r>
              <w:rPr>
                <w:rFonts w:ascii="Times New Roman" w:hAnsi="Times New Roman" w:eastAsia="宋体"/>
                <w:bCs/>
                <w:spacing w:val="-10"/>
                <w:sz w:val="24"/>
              </w:rPr>
              <w:t>85</w:t>
            </w:r>
            <w:r>
              <w:rPr>
                <w:rFonts w:ascii="Times New Roman" w:hAnsi="Times New Roman" w:eastAsia="宋体"/>
                <w:bCs/>
                <w:sz w:val="24"/>
              </w:rPr>
              <w:t xml:space="preserve"> </w:t>
            </w:r>
          </w:p>
        </w:tc>
      </w:tr>
    </w:tbl>
    <w:p>
      <w:pPr>
        <w:spacing w:line="360" w:lineRule="auto"/>
        <w:rPr>
          <w:rFonts w:ascii="Times New Roman" w:hAnsi="Times New Roman" w:eastAsia="宋体"/>
          <w:bCs/>
          <w:sz w:val="24"/>
        </w:rPr>
      </w:pPr>
      <w:r>
        <w:rPr>
          <w:rFonts w:hint="eastAsia" w:ascii="Times New Roman" w:hAnsi="Times New Roman" w:eastAsia="宋体"/>
          <w:bCs/>
          <w:sz w:val="24"/>
        </w:rPr>
        <w:t>说明：表中所列各项指标均为预期性指标，而非约束性指标。</w:t>
      </w:r>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lang w:val="zh-TW"/>
        </w:rPr>
        <w:t>（</w:t>
      </w:r>
      <w:r>
        <w:rPr>
          <w:rFonts w:hint="eastAsia" w:ascii="仿宋" w:hAnsi="仿宋" w:eastAsia="仿宋" w:cs="Times New Roman"/>
          <w:b/>
          <w:kern w:val="0"/>
          <w:sz w:val="32"/>
          <w:szCs w:val="32"/>
        </w:rPr>
        <w:t>二</w:t>
      </w:r>
      <w:r>
        <w:rPr>
          <w:rFonts w:hint="eastAsia" w:ascii="仿宋" w:hAnsi="仿宋" w:eastAsia="仿宋" w:cs="Times New Roman"/>
          <w:b/>
          <w:kern w:val="0"/>
          <w:sz w:val="32"/>
          <w:szCs w:val="32"/>
          <w:lang w:val="zh-TW"/>
        </w:rPr>
        <w:t>）2035年远景目标</w:t>
      </w:r>
      <w:bookmarkEnd w:id="17"/>
      <w:bookmarkEnd w:id="18"/>
      <w:bookmarkEnd w:id="19"/>
    </w:p>
    <w:p>
      <w:pPr>
        <w:spacing w:line="560" w:lineRule="exact"/>
        <w:ind w:firstLine="640" w:firstLineChars="200"/>
        <w:rPr>
          <w:rFonts w:hint="eastAsia" w:ascii="仿宋" w:hAnsi="仿宋" w:eastAsia="仿宋" w:cs="Times New Roman"/>
          <w:bCs/>
          <w:kern w:val="0"/>
          <w:sz w:val="32"/>
          <w:szCs w:val="32"/>
        </w:rPr>
      </w:pPr>
      <w:r>
        <w:rPr>
          <w:rFonts w:hint="eastAsia" w:ascii="仿宋" w:hAnsi="仿宋" w:eastAsia="仿宋" w:cs="Times New Roman"/>
          <w:bCs/>
          <w:kern w:val="0"/>
          <w:sz w:val="32"/>
          <w:szCs w:val="32"/>
        </w:rPr>
        <w:t>展望2035年，全面建成水韵特质、泰州特色的国家全域旅游示范区，旅游服务设施、经营管理水平、服务质量和产业规模、核心竞争力、综合效益达到省内先进水平，全面形成具有较强竞争力的现代旅游产业体系，基本实现旅游业高水平现代化，使泰州成为国内一流、有一定国际影响力的旅游目的地和长三角旅游一体化重要节点城市。</w:t>
      </w:r>
    </w:p>
    <w:p>
      <w:pPr>
        <w:pStyle w:val="2"/>
      </w:pPr>
    </w:p>
    <w:p>
      <w:pPr>
        <w:pStyle w:val="4"/>
        <w:ind w:firstLine="0" w:firstLineChars="0"/>
      </w:pPr>
    </w:p>
    <w:p>
      <w:pPr>
        <w:pStyle w:val="19"/>
        <w:spacing w:before="120" w:after="120" w:line="560" w:lineRule="exact"/>
        <w:rPr>
          <w:rFonts w:ascii="Arial" w:hAnsi="Arial" w:eastAsia="黑体" w:cstheme="minorBidi"/>
          <w:bCs w:val="0"/>
          <w:color w:val="000000" w:themeColor="text1"/>
          <w:sz w:val="40"/>
          <w:szCs w:val="28"/>
          <w14:textFill>
            <w14:solidFill>
              <w14:schemeClr w14:val="tx1"/>
            </w14:solidFill>
          </w14:textFill>
        </w:rPr>
      </w:pPr>
      <w:bookmarkStart w:id="20" w:name="_Toc85036110"/>
      <w:r>
        <w:rPr>
          <w:rFonts w:hint="eastAsia" w:ascii="Arial" w:hAnsi="Arial" w:eastAsia="黑体" w:cstheme="minorBidi"/>
          <w:bCs w:val="0"/>
          <w:color w:val="000000" w:themeColor="text1"/>
          <w:sz w:val="40"/>
          <w:szCs w:val="28"/>
          <w14:textFill>
            <w14:solidFill>
              <w14:schemeClr w14:val="tx1"/>
            </w14:solidFill>
          </w14:textFill>
        </w:rPr>
        <w:t>第三章  发展布局</w:t>
      </w:r>
      <w:bookmarkEnd w:id="20"/>
    </w:p>
    <w:p/>
    <w:p>
      <w:pPr>
        <w:pStyle w:val="8"/>
        <w:spacing w:before="140" w:after="140"/>
        <w:rPr>
          <w:rFonts w:ascii="Times New Roman" w:hAnsi="Times New Roman" w:eastAsia="宋体" w:cs="Times New Roman"/>
          <w:color w:val="000000" w:themeColor="text1"/>
          <w:lang w:val="zh-TW"/>
          <w14:textFill>
            <w14:solidFill>
              <w14:schemeClr w14:val="tx1"/>
            </w14:solidFill>
          </w14:textFill>
        </w:rPr>
      </w:pPr>
      <w:bookmarkStart w:id="21" w:name="_Toc85036111"/>
      <w:r>
        <w:rPr>
          <w:rFonts w:hint="eastAsia" w:ascii="Times New Roman" w:hAnsi="Times New Roman" w:eastAsia="宋体" w:cs="Times New Roman"/>
          <w:color w:val="000000" w:themeColor="text1"/>
          <w14:textFill>
            <w14:solidFill>
              <w14:schemeClr w14:val="tx1"/>
            </w14:solidFill>
          </w14:textFill>
        </w:rPr>
        <w:t>一、</w:t>
      </w:r>
      <w:r>
        <w:rPr>
          <w:rFonts w:hint="eastAsia" w:ascii="Times New Roman" w:hAnsi="Times New Roman" w:eastAsia="宋体" w:cs="Times New Roman"/>
          <w:color w:val="000000" w:themeColor="text1"/>
          <w:lang w:val="zh-TW"/>
          <w14:textFill>
            <w14:solidFill>
              <w14:schemeClr w14:val="tx1"/>
            </w14:solidFill>
          </w14:textFill>
        </w:rPr>
        <w:t>总体空间布局</w:t>
      </w:r>
      <w:bookmarkEnd w:id="21"/>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统筹考虑泰州旅游业发展所处的阶段和文旅资源禀赋，以里下河的婉约、长江的豪情来彰显水天堂的文韵，进一步挖掘城河、运河等历史文化资源，增加对老通扬运河、稻河、草河等水资源利用的研究，以发挥后发优势拓展旅游发展新空间，构建“一核两轴两极多片区”的全域旅游空间格局。</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（一）一核</w:t>
      </w:r>
    </w:p>
    <w:p>
      <w:pPr>
        <w:adjustRightInd w:val="0"/>
        <w:snapToGrid w:val="0"/>
        <w:spacing w:line="560" w:lineRule="exact"/>
        <w:ind w:firstLine="643" w:firstLineChars="200"/>
        <w:rPr>
          <w:rFonts w:ascii="仿宋" w:hAnsi="仿宋" w:eastAsia="仿宋" w:cs="Times New Roman"/>
          <w:bCs/>
          <w:kern w:val="0"/>
          <w:sz w:val="32"/>
          <w:szCs w:val="32"/>
          <w:highlight w:val="yellow"/>
        </w:rPr>
      </w:pPr>
      <w:r>
        <w:rPr>
          <w:rFonts w:hint="eastAsia" w:ascii="仿宋" w:hAnsi="仿宋" w:eastAsia="仿宋" w:cs="Times New Roman"/>
          <w:b/>
          <w:kern w:val="0"/>
          <w:sz w:val="32"/>
          <w:szCs w:val="32"/>
        </w:rPr>
        <w:t>泰州古城文化旅游休闲核。</w:t>
      </w:r>
      <w:r>
        <w:rPr>
          <w:rFonts w:hint="eastAsia" w:ascii="仿宋" w:hAnsi="仿宋" w:eastAsia="仿宋" w:cs="Times New Roman"/>
          <w:bCs/>
          <w:kern w:val="0"/>
          <w:sz w:val="32"/>
          <w:szCs w:val="32"/>
        </w:rPr>
        <w:t>大力挖掘江海文化、水城水乡文化底蕴，促进文商旅融合发展，挖掘消费潜力。加大历史文化名城保护力度，充分彰显“幸福水天堂”的文化底蕴。通过对历史文化遗产的创造性转化创新性发展，构建餐饮、文化、游览、购物等多元商业形态，促进老城复兴。依托良好的区位条件融入长三角新发展格局，成为辐射泰州全域旅游发展的文化中心、旅游中心、休闲中心、服务中心。</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（二）两轴</w:t>
      </w:r>
    </w:p>
    <w:p>
      <w:pPr>
        <w:pStyle w:val="4"/>
        <w:adjustRightInd w:val="0"/>
        <w:snapToGrid w:val="0"/>
        <w:spacing w:after="0"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南北旅游发展纵轴。</w:t>
      </w:r>
      <w:r>
        <w:rPr>
          <w:rFonts w:hint="eastAsia" w:ascii="仿宋" w:hAnsi="仿宋" w:eastAsia="仿宋" w:cs="Times New Roman"/>
          <w:bCs/>
          <w:kern w:val="0"/>
          <w:sz w:val="32"/>
          <w:szCs w:val="32"/>
        </w:rPr>
        <w:t>依托泰州市域交通干线和快速路体系，自兴化的Y725、长安北路、长安中路、长安南路，通过S231向东连接姜堰溱湖，向南连接海陵区东风快速，直达高港区，形成纵贯南北、连接三市三区、串联各功能组团的南北旅游发展轴线。通过加强沿线景观风貌整治、融入泰州主题文化元素、完善沿线旅游产业要素配套，形成泰州旅游发展的美丽中轴，成为沟通苏南、苏北的旅游走廊和展示泰州特质的文化走廊。</w:t>
      </w:r>
    </w:p>
    <w:p>
      <w:pPr>
        <w:pStyle w:val="4"/>
        <w:adjustRightInd w:val="0"/>
        <w:snapToGrid w:val="0"/>
        <w:spacing w:after="0"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沿江旅游发展横轴</w:t>
      </w:r>
      <w:r>
        <w:rPr>
          <w:rFonts w:hint="eastAsia" w:ascii="仿宋" w:hAnsi="仿宋" w:eastAsia="仿宋" w:cs="Times New Roman"/>
          <w:bCs/>
          <w:kern w:val="0"/>
          <w:sz w:val="32"/>
          <w:szCs w:val="32"/>
        </w:rPr>
        <w:t>。依托高港、泰兴、靖江沿江板块，守护传承生生不息的长江千年文脉，发挥黄金水道江阔水深优势，顺应泰州向南沿江发展趋势，在保护好沿江生态环境的基础上整合滨江文旅资源、沿江江岸码头、闲置产业设施，推动沿江重大文旅项目建设，开发军事体验、滨江休闲、水上游乐等项目，形成长江国际黄金旅游带的璀璨明珠。</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（三）两极</w:t>
      </w:r>
    </w:p>
    <w:p>
      <w:pPr>
        <w:adjustRightInd w:val="0"/>
        <w:snapToGrid w:val="0"/>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1.姜堰溱湖湿地生态旅游发展极。</w:t>
      </w:r>
      <w:r>
        <w:rPr>
          <w:rFonts w:hint="eastAsia" w:ascii="仿宋" w:hAnsi="仿宋" w:eastAsia="仿宋" w:cs="Times New Roman"/>
          <w:bCs/>
          <w:kern w:val="0"/>
          <w:sz w:val="32"/>
          <w:szCs w:val="32"/>
        </w:rPr>
        <w:t>以湿地风光和会船风情文化为特色，依托溱湖国家湿地公园、溱潼古镇、泰州华侨城、溱湖绿洲、小杨村、河横村等资源，以溱潼会船文化为核心品牌，以“+旅游”“+康养”为两大抓手，</w:t>
      </w:r>
      <w:r>
        <w:rPr>
          <w:rFonts w:ascii="仿宋" w:hAnsi="仿宋" w:eastAsia="仿宋" w:cs="Times New Roman"/>
          <w:bCs/>
          <w:kern w:val="0"/>
          <w:sz w:val="32"/>
          <w:szCs w:val="32"/>
        </w:rPr>
        <w:t>沿</w:t>
      </w:r>
      <w:r>
        <w:rPr>
          <w:rFonts w:hint="eastAsia" w:ascii="仿宋" w:hAnsi="仿宋" w:eastAsia="仿宋" w:cs="Times New Roman"/>
          <w:bCs/>
          <w:kern w:val="0"/>
          <w:sz w:val="32"/>
          <w:szCs w:val="32"/>
        </w:rPr>
        <w:t>溱湖大道</w:t>
      </w:r>
      <w:r>
        <w:rPr>
          <w:rFonts w:ascii="仿宋" w:hAnsi="仿宋" w:eastAsia="仿宋" w:cs="Times New Roman"/>
          <w:bCs/>
          <w:kern w:val="0"/>
          <w:sz w:val="32"/>
          <w:szCs w:val="32"/>
        </w:rPr>
        <w:t>发展休闲</w:t>
      </w:r>
      <w:r>
        <w:rPr>
          <w:rFonts w:hint="eastAsia" w:ascii="仿宋" w:hAnsi="仿宋" w:eastAsia="仿宋" w:cs="Times New Roman"/>
          <w:bCs/>
          <w:kern w:val="0"/>
          <w:sz w:val="32"/>
          <w:szCs w:val="32"/>
        </w:rPr>
        <w:t>农业与乡村旅游，挖掘华侨城温泉、溱湖湿地、现代农业、溱湖八鲜、中医养生等资源，重点发展民宿度假、健康产业等度假休闲设施，打造成集生态观光、休闲度假、康体疗养、乡村体验等功能于一体的康养旅游度假集群。</w:t>
      </w:r>
    </w:p>
    <w:p>
      <w:pPr>
        <w:adjustRightInd w:val="0"/>
        <w:snapToGrid w:val="0"/>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2.兴化里下河水乡风情旅游发展极。</w:t>
      </w:r>
      <w:r>
        <w:rPr>
          <w:rFonts w:hint="eastAsia" w:ascii="仿宋" w:hAnsi="仿宋" w:eastAsia="仿宋" w:cs="Times New Roman"/>
          <w:bCs/>
          <w:kern w:val="0"/>
          <w:sz w:val="32"/>
          <w:szCs w:val="32"/>
        </w:rPr>
        <w:t>依托兴化西北部优越的生态资源和水乡自然景观，以里下河湿地及民俗文化为特色，全面提升里下河国家湿地公园、千垛景区、东罗村、水上森林、沙沟渔文化旅游区、大纵湖等景区品质，以四季度假产品弥补菜花单季产品，重点发展乡村旅游和休闲度假旅游，提升环境景观质量，完善度假酒店等配套要素，建设具有浓郁里下河民俗文化内涵的旅游度假集群。</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（四）多片区</w:t>
      </w:r>
    </w:p>
    <w:p>
      <w:pPr>
        <w:adjustRightInd w:val="0"/>
        <w:snapToGrid w:val="0"/>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1.泰州城北乡村旅游片区。</w:t>
      </w:r>
      <w:r>
        <w:rPr>
          <w:rFonts w:hint="eastAsia" w:ascii="仿宋" w:hAnsi="仿宋" w:eastAsia="仿宋" w:cs="Times New Roman"/>
          <w:bCs/>
          <w:kern w:val="0"/>
          <w:sz w:val="32"/>
          <w:szCs w:val="32"/>
        </w:rPr>
        <w:t>以现代农业景观和历史文化街区为特色，依托通扬运河以北的渔行水村历史文化街区、秋雪湖、南舍村、田园牧歌、麒麟湾、香草湾景区、现代农业示范园、港口垎岸风貌等多样化的乡村资源，保护好乡村风貌和乡村肌理，</w:t>
      </w:r>
      <w:r>
        <w:rPr>
          <w:rFonts w:ascii="仿宋" w:hAnsi="仿宋" w:eastAsia="仿宋" w:cs="Times New Roman"/>
          <w:bCs/>
          <w:kern w:val="0"/>
          <w:sz w:val="32"/>
          <w:szCs w:val="32"/>
        </w:rPr>
        <w:t>丰富乡村旅游人文内涵，</w:t>
      </w:r>
      <w:r>
        <w:rPr>
          <w:rFonts w:hint="eastAsia" w:ascii="仿宋" w:hAnsi="仿宋" w:eastAsia="仿宋" w:cs="Times New Roman"/>
          <w:bCs/>
          <w:kern w:val="0"/>
          <w:sz w:val="32"/>
          <w:szCs w:val="32"/>
        </w:rPr>
        <w:t>培育乡村旅游重点村，促进</w:t>
      </w:r>
      <w:r>
        <w:rPr>
          <w:rFonts w:ascii="仿宋" w:hAnsi="仿宋" w:eastAsia="仿宋" w:cs="Times New Roman"/>
          <w:bCs/>
          <w:kern w:val="0"/>
          <w:sz w:val="32"/>
          <w:szCs w:val="32"/>
        </w:rPr>
        <w:t>乡村旅游品质化发展，提升乡村旅游智慧供给和服务水平，有效促进城北地区农村一二三产业融合发展，</w:t>
      </w:r>
      <w:r>
        <w:rPr>
          <w:rFonts w:hint="eastAsia" w:ascii="仿宋" w:hAnsi="仿宋" w:eastAsia="仿宋" w:cs="Times New Roman"/>
          <w:bCs/>
          <w:kern w:val="0"/>
          <w:sz w:val="32"/>
          <w:szCs w:val="32"/>
        </w:rPr>
        <w:t>成为全市乡村旅游集聚发展的引领区、示范区。</w:t>
      </w:r>
    </w:p>
    <w:p>
      <w:pPr>
        <w:adjustRightInd w:val="0"/>
        <w:snapToGrid w:val="0"/>
        <w:spacing w:line="560" w:lineRule="exact"/>
        <w:ind w:firstLine="643" w:firstLineChars="200"/>
        <w:rPr>
          <w:rFonts w:ascii="仿宋" w:hAnsi="仿宋" w:eastAsia="仿宋" w:cs="Times New Roman"/>
          <w:bCs/>
          <w:color w:val="000000"/>
          <w:kern w:val="0"/>
          <w:sz w:val="32"/>
          <w:szCs w:val="32"/>
        </w:rPr>
      </w:pPr>
      <w:r>
        <w:rPr>
          <w:rFonts w:hint="eastAsia" w:ascii="仿宋" w:hAnsi="仿宋" w:eastAsia="仿宋" w:cs="Times New Roman"/>
          <w:b/>
          <w:kern w:val="0"/>
          <w:sz w:val="32"/>
          <w:szCs w:val="32"/>
        </w:rPr>
        <w:t>2.高港海军文化主题旅游区。</w:t>
      </w:r>
      <w:r>
        <w:rPr>
          <w:rFonts w:hint="eastAsia" w:ascii="仿宋" w:hAnsi="仿宋" w:eastAsia="仿宋" w:cs="Times New Roman"/>
          <w:bCs/>
          <w:color w:val="000000"/>
          <w:kern w:val="0"/>
          <w:sz w:val="32"/>
          <w:szCs w:val="32"/>
        </w:rPr>
        <w:t>以海军文化为特色，依托海军诞生地纪</w:t>
      </w:r>
      <w:r>
        <w:rPr>
          <w:rFonts w:hint="eastAsia" w:ascii="仿宋" w:hAnsi="仿宋" w:eastAsia="仿宋" w:cs="Times New Roman"/>
          <w:bCs/>
          <w:kern w:val="0"/>
          <w:sz w:val="32"/>
          <w:szCs w:val="32"/>
        </w:rPr>
        <w:t>念馆、海军退役潜艇和舰船等资源，与</w:t>
      </w:r>
      <w:r>
        <w:rPr>
          <w:rFonts w:hint="eastAsia" w:ascii="仿宋" w:hAnsi="仿宋" w:eastAsia="仿宋" w:cs="Times New Roman"/>
          <w:bCs/>
          <w:color w:val="000000"/>
          <w:kern w:val="0"/>
          <w:sz w:val="32"/>
          <w:szCs w:val="32"/>
        </w:rPr>
        <w:t>春江湿地公园、双拥广场等整合，建设海军舰艇文化公园，打造融舰艇观光、拓展训练、国防教育、娱乐休闲、影视拍摄、滨江休闲为一体的主题军事研学旅游项目，成为中国海军文化展示新窗口、海军文化新地标。</w:t>
      </w:r>
    </w:p>
    <w:p>
      <w:pPr>
        <w:adjustRightInd w:val="0"/>
        <w:snapToGrid w:val="0"/>
        <w:spacing w:line="560" w:lineRule="exact"/>
        <w:ind w:firstLine="643" w:firstLineChars="200"/>
        <w:rPr>
          <w:rFonts w:ascii="仿宋" w:hAnsi="仿宋" w:eastAsia="仿宋" w:cs="Times New Roman"/>
          <w:bCs/>
          <w:kern w:val="0"/>
          <w:sz w:val="32"/>
          <w:szCs w:val="32"/>
        </w:rPr>
      </w:pPr>
      <w:r>
        <w:rPr>
          <w:rFonts w:hint="eastAsia" w:ascii="仿宋" w:hAnsi="仿宋" w:eastAsia="仿宋" w:cs="Times New Roman"/>
          <w:b/>
          <w:kern w:val="0"/>
          <w:sz w:val="32"/>
          <w:szCs w:val="32"/>
        </w:rPr>
        <w:t>3.高新区健康医疗旅游片区。</w:t>
      </w:r>
      <w:r>
        <w:rPr>
          <w:rFonts w:hint="eastAsia" w:ascii="仿宋" w:hAnsi="仿宋" w:eastAsia="仿宋" w:cs="Times New Roman"/>
          <w:bCs/>
          <w:kern w:val="0"/>
          <w:sz w:val="32"/>
          <w:szCs w:val="32"/>
        </w:rPr>
        <w:t>即中国医药城医疗健康服务产业集聚区，以健康医疗为特色，依托泰州医药高新区的产业链资源，打造以中国医药城国际精准健康中心为内核的健康医疗旅游片区。重点发展精准医疗、特色医疗、健康管理、康复护理、数字健康、医疗美容、养老养生等产业。通过集聚相关资源要素，推进医药创新成果的临床转化和应用，促进健康制造业与健康服务业融合发展，加快推动中国医药城“药、医、养、食、游”一体化生态集群的建设。</w:t>
      </w:r>
    </w:p>
    <w:p>
      <w:pPr>
        <w:adjustRightInd w:val="0"/>
        <w:snapToGrid w:val="0"/>
        <w:spacing w:line="560" w:lineRule="exact"/>
        <w:ind w:firstLine="643" w:firstLineChars="200"/>
        <w:rPr>
          <w:rFonts w:ascii="仿宋" w:hAnsi="仿宋" w:eastAsia="仿宋" w:cs="Times New Roman"/>
          <w:bCs/>
          <w:color w:val="000000"/>
          <w:kern w:val="0"/>
          <w:sz w:val="32"/>
          <w:szCs w:val="32"/>
        </w:rPr>
      </w:pPr>
      <w:r>
        <w:rPr>
          <w:rFonts w:hint="eastAsia" w:ascii="仿宋" w:hAnsi="仿宋" w:eastAsia="仿宋" w:cs="Times New Roman"/>
          <w:b/>
          <w:kern w:val="0"/>
          <w:sz w:val="32"/>
          <w:szCs w:val="32"/>
        </w:rPr>
        <w:t>4.靖江滨江旅游度假区。</w:t>
      </w:r>
      <w:r>
        <w:rPr>
          <w:rFonts w:hint="eastAsia" w:ascii="仿宋" w:hAnsi="仿宋" w:eastAsia="仿宋" w:cs="Times New Roman"/>
          <w:bCs/>
          <w:color w:val="000000"/>
          <w:kern w:val="0"/>
          <w:sz w:val="32"/>
          <w:szCs w:val="32"/>
        </w:rPr>
        <w:t>整合靖江滨江公园带、“东线第一帆”纪念公园、文化中心、小桥港景观带、十圩港景观带、水街、印象城、晨阳里等各资源点位，抓好原东方重工厂址改造旅游项目、装扮沿江最美半马赛道等重点文旅龙头项目建设，完善配套旅游基础设施，多管齐下、多元发展、全要素融合，全力打造靖江滨江一线文化、艺术、旅游集中区。</w:t>
      </w:r>
    </w:p>
    <w:p>
      <w:pPr>
        <w:adjustRightInd w:val="0"/>
        <w:snapToGrid w:val="0"/>
        <w:spacing w:line="560" w:lineRule="exact"/>
        <w:ind w:firstLine="643" w:firstLineChars="200"/>
        <w:rPr>
          <w:rFonts w:ascii="仿宋" w:hAnsi="仿宋" w:eastAsia="仿宋" w:cs="Times New Roman"/>
          <w:bCs/>
          <w:color w:val="000000"/>
          <w:kern w:val="0"/>
          <w:sz w:val="32"/>
          <w:szCs w:val="32"/>
        </w:rPr>
      </w:pPr>
      <w:r>
        <w:rPr>
          <w:rFonts w:hint="eastAsia" w:ascii="仿宋" w:hAnsi="仿宋" w:eastAsia="仿宋" w:cs="Times New Roman"/>
          <w:b/>
          <w:kern w:val="0"/>
          <w:sz w:val="32"/>
          <w:szCs w:val="32"/>
        </w:rPr>
        <w:t>5.泰兴黄桥特色旅游区。</w:t>
      </w:r>
      <w:r>
        <w:rPr>
          <w:rFonts w:hint="eastAsia" w:ascii="仿宋" w:hAnsi="仿宋" w:eastAsia="仿宋" w:cs="Times New Roman"/>
          <w:bCs/>
          <w:color w:val="000000"/>
          <w:kern w:val="0"/>
          <w:sz w:val="32"/>
          <w:szCs w:val="32"/>
        </w:rPr>
        <w:t>以新四军红色文化为特色，依托新四军黄桥战役纪念馆、黄桥古镇、祁巷村、乐器制造业、地方美食等主要文旅资源，大力发展红色旅游、古镇旅游、乡村旅游、工业旅游等特色旅游，全面提升黄桥古镇整体风貌，</w:t>
      </w:r>
      <w:r>
        <w:rPr>
          <w:rFonts w:ascii="仿宋" w:hAnsi="仿宋" w:eastAsia="仿宋" w:cs="Times New Roman"/>
          <w:bCs/>
          <w:color w:val="000000"/>
          <w:kern w:val="0"/>
          <w:sz w:val="32"/>
          <w:szCs w:val="32"/>
        </w:rPr>
        <w:t>充实旅游要素</w:t>
      </w:r>
      <w:r>
        <w:rPr>
          <w:rFonts w:hint="eastAsia" w:ascii="仿宋" w:hAnsi="仿宋" w:eastAsia="仿宋" w:cs="Times New Roman"/>
          <w:bCs/>
          <w:color w:val="000000"/>
          <w:kern w:val="0"/>
          <w:sz w:val="32"/>
          <w:szCs w:val="32"/>
        </w:rPr>
        <w:t>，完善旅游配套设施，以高颜值促“蝶变”。依托祁巷村研学旅行基地开发研学旅行，依托全国钓鱼大赛发展体育旅游，推出系列精品线路和品牌。</w:t>
      </w:r>
    </w:p>
    <w:p>
      <w:pPr>
        <w:adjustRightInd w:val="0"/>
        <w:snapToGrid w:val="0"/>
        <w:spacing w:line="560" w:lineRule="exact"/>
        <w:ind w:firstLine="643" w:firstLineChars="200"/>
        <w:rPr>
          <w:rFonts w:ascii="仿宋" w:hAnsi="仿宋" w:cs="Times New Roman"/>
          <w:bCs/>
          <w:color w:val="000000"/>
          <w:kern w:val="0"/>
          <w:sz w:val="32"/>
          <w:szCs w:val="32"/>
        </w:rPr>
      </w:pPr>
      <w:r>
        <w:rPr>
          <w:rFonts w:hint="eastAsia" w:ascii="仿宋" w:hAnsi="仿宋" w:eastAsia="仿宋" w:cs="Times New Roman"/>
          <w:b/>
          <w:sz w:val="32"/>
          <w:szCs w:val="32"/>
        </w:rPr>
        <w:t>6.兴化古城历史文化片区。</w:t>
      </w:r>
      <w:r>
        <w:rPr>
          <w:rFonts w:hint="eastAsia" w:ascii="仿宋" w:hAnsi="仿宋" w:eastAsia="仿宋" w:cs="Times New Roman"/>
          <w:bCs/>
          <w:sz w:val="32"/>
          <w:szCs w:val="32"/>
        </w:rPr>
        <w:t>以（金）东门、（银）北门历史文化街区为重点片区，以郑板桥故居为核心资源，以老城改造推动景观环境提升，以新业态植入完善旅游要素，以高科技应用嵌入更多时尚化、互动式文化体验消费，使之成为可停留、可欣赏、可享受、可回味、慢休闲、深生态、真生活的城市休闲商务区和对外展示窗口。</w:t>
      </w:r>
    </w:p>
    <w:p>
      <w:pPr>
        <w:pStyle w:val="8"/>
        <w:spacing w:before="140" w:after="140"/>
        <w:rPr>
          <w:rFonts w:ascii="Times New Roman" w:hAnsi="Times New Roman" w:eastAsia="宋体" w:cs="Times New Roman"/>
          <w:color w:val="000000" w:themeColor="text1"/>
          <w:lang w:val="zh-TW"/>
          <w14:textFill>
            <w14:solidFill>
              <w14:schemeClr w14:val="tx1"/>
            </w14:solidFill>
          </w14:textFill>
        </w:rPr>
      </w:pPr>
      <w:bookmarkStart w:id="22" w:name="_Toc59018940"/>
      <w:bookmarkStart w:id="23" w:name="_Toc85036112"/>
      <w:r>
        <w:rPr>
          <w:rFonts w:hint="eastAsia" w:ascii="Times New Roman" w:hAnsi="Times New Roman" w:eastAsia="宋体" w:cs="Times New Roman"/>
          <w:color w:val="000000" w:themeColor="text1"/>
          <w14:textFill>
            <w14:solidFill>
              <w14:schemeClr w14:val="tx1"/>
            </w14:solidFill>
          </w14:textFill>
        </w:rPr>
        <w:t>二、</w:t>
      </w:r>
      <w:r>
        <w:rPr>
          <w:rFonts w:hint="eastAsia" w:ascii="Times New Roman" w:hAnsi="Times New Roman" w:eastAsia="宋体" w:cs="Times New Roman"/>
          <w:color w:val="000000" w:themeColor="text1"/>
          <w:lang w:val="zh-TW"/>
          <w14:textFill>
            <w14:solidFill>
              <w14:schemeClr w14:val="tx1"/>
            </w14:solidFill>
          </w14:textFill>
        </w:rPr>
        <w:t>市（区）发展</w:t>
      </w:r>
      <w:bookmarkEnd w:id="22"/>
      <w:r>
        <w:rPr>
          <w:rFonts w:hint="eastAsia" w:ascii="Times New Roman" w:hAnsi="Times New Roman" w:eastAsia="宋体" w:cs="Times New Roman"/>
          <w:color w:val="000000" w:themeColor="text1"/>
          <w:lang w:val="zh-TW"/>
          <w14:textFill>
            <w14:solidFill>
              <w14:schemeClr w14:val="tx1"/>
            </w14:solidFill>
          </w14:textFill>
        </w:rPr>
        <w:t>思路</w:t>
      </w:r>
      <w:bookmarkEnd w:id="23"/>
    </w:p>
    <w:p>
      <w:pPr>
        <w:adjustRightInd w:val="0"/>
        <w:snapToGrid w:val="0"/>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“十四五”期间，三市三区立足本地，挖掘文化，整合资源，找准定位，突出优势，错位发展，彰显“幸福水天堂”的独特魅力。</w:t>
      </w:r>
    </w:p>
    <w:p>
      <w:pPr>
        <w:spacing w:line="560" w:lineRule="exact"/>
        <w:ind w:firstLine="643" w:firstLineChars="200"/>
        <w:rPr>
          <w:rFonts w:ascii="仿宋" w:hAnsi="仿宋" w:eastAsia="仿宋" w:cs="Times New Roman"/>
          <w:b/>
          <w:kern w:val="0"/>
          <w:sz w:val="32"/>
          <w:szCs w:val="32"/>
        </w:rPr>
      </w:pPr>
      <w:bookmarkStart w:id="24" w:name="_Toc20020"/>
      <w:bookmarkStart w:id="25" w:name="_Toc16307"/>
      <w:r>
        <w:rPr>
          <w:rFonts w:hint="eastAsia" w:ascii="仿宋" w:hAnsi="仿宋" w:eastAsia="仿宋" w:cs="Times New Roman"/>
          <w:b/>
          <w:kern w:val="0"/>
          <w:sz w:val="32"/>
          <w:szCs w:val="32"/>
        </w:rPr>
        <w:t>（一）海陵区</w:t>
      </w:r>
      <w:bookmarkEnd w:id="24"/>
    </w:p>
    <w:p>
      <w:pPr>
        <w:pStyle w:val="5"/>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深入挖掘江海文化底蕴，做靓戏曲文化、红色文化、盐税文化、美食文化、名人文化、生态文化，优先发展文商旅融合和夜间经济，培育旅游消费新业态，构建“一心（老城及凤城河）带动、两轴（迎春路、海陵路）辐射、六组团（文旅、商旅、创意、科教、乡闲、乡娱）集聚”的空间结构，重点建设“一河（凤城河）两路（府前路和五一路）”，不断完善凤城河多元功能，形成以水城慢生活为特色的长三角城市文旅新高地，再现汉唐古郡、淮海名区荣光和风采。</w:t>
      </w:r>
    </w:p>
    <w:p>
      <w:pPr>
        <w:spacing w:line="560" w:lineRule="exact"/>
        <w:ind w:firstLine="643" w:firstLineChars="200"/>
        <w:rPr>
          <w:rFonts w:ascii="仿宋" w:hAnsi="仿宋" w:eastAsia="仿宋" w:cs="Times New Roman"/>
          <w:b/>
          <w:kern w:val="0"/>
          <w:sz w:val="32"/>
          <w:szCs w:val="32"/>
        </w:rPr>
      </w:pPr>
      <w:bookmarkStart w:id="26" w:name="_Toc12116"/>
      <w:r>
        <w:rPr>
          <w:rFonts w:hint="eastAsia" w:ascii="仿宋" w:hAnsi="仿宋" w:eastAsia="仿宋" w:cs="Times New Roman"/>
          <w:b/>
          <w:kern w:val="0"/>
          <w:sz w:val="32"/>
          <w:szCs w:val="32"/>
        </w:rPr>
        <w:t>（二）姜堰区</w:t>
      </w:r>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sz w:val="32"/>
          <w:szCs w:val="32"/>
        </w:rPr>
        <w:t>推动溱湖争创国家级旅游度假区，并</w:t>
      </w:r>
      <w:r>
        <w:rPr>
          <w:rFonts w:hint="eastAsia" w:ascii="仿宋" w:hAnsi="仿宋" w:eastAsia="仿宋" w:cs="Times New Roman"/>
          <w:bCs/>
          <w:kern w:val="0"/>
          <w:sz w:val="32"/>
          <w:szCs w:val="32"/>
        </w:rPr>
        <w:t>以溱湖为核心带动全域旅游发展，重点打造生态观光旅游、康体养生旅游、水乡休闲度假三大拳头产品，创新培育文化旅游、夜间旅游、体育旅游、水上旅游、乡村旅游、研学旅游等六大主题产品，形成</w:t>
      </w:r>
      <w:bookmarkStart w:id="27" w:name="_Hlk521400121"/>
      <w:bookmarkStart w:id="28" w:name="_Hlk521400053"/>
      <w:r>
        <w:rPr>
          <w:rFonts w:hint="eastAsia" w:ascii="仿宋" w:hAnsi="仿宋" w:eastAsia="仿宋" w:cs="Times New Roman"/>
          <w:bCs/>
          <w:kern w:val="0"/>
          <w:sz w:val="32"/>
          <w:szCs w:val="32"/>
        </w:rPr>
        <w:t>“一核（溱湖生态康养核）、一轴（溱湖大道旅游发展轴）、两片区（城区文化旅游片区、红色旅游片区）”</w:t>
      </w:r>
      <w:bookmarkEnd w:id="27"/>
      <w:r>
        <w:rPr>
          <w:rFonts w:hint="eastAsia" w:ascii="仿宋" w:hAnsi="仿宋" w:eastAsia="仿宋" w:cs="Times New Roman"/>
          <w:bCs/>
          <w:kern w:val="0"/>
          <w:sz w:val="32"/>
          <w:szCs w:val="32"/>
        </w:rPr>
        <w:t>的全域旅游空间结构</w:t>
      </w:r>
      <w:bookmarkEnd w:id="28"/>
      <w:r>
        <w:rPr>
          <w:rFonts w:hint="eastAsia" w:ascii="仿宋" w:hAnsi="仿宋" w:eastAsia="仿宋" w:cs="Times New Roman"/>
          <w:bCs/>
          <w:kern w:val="0"/>
          <w:sz w:val="32"/>
          <w:szCs w:val="32"/>
        </w:rPr>
        <w:t>，</w:t>
      </w:r>
      <w:r>
        <w:rPr>
          <w:rFonts w:ascii="仿宋" w:hAnsi="仿宋" w:eastAsia="仿宋"/>
          <w:sz w:val="32"/>
          <w:szCs w:val="32"/>
        </w:rPr>
        <w:t>建设成为</w:t>
      </w:r>
      <w:r>
        <w:rPr>
          <w:rFonts w:hint="eastAsia" w:ascii="仿宋" w:hAnsi="仿宋" w:eastAsia="仿宋"/>
          <w:sz w:val="32"/>
          <w:szCs w:val="32"/>
        </w:rPr>
        <w:t>长三角知名的生态休闲度假养生目的地。</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（三）医药高新区</w:t>
      </w:r>
      <w:bookmarkEnd w:id="26"/>
      <w:r>
        <w:rPr>
          <w:rFonts w:hint="eastAsia" w:ascii="仿宋" w:hAnsi="仿宋" w:eastAsia="仿宋" w:cs="Times New Roman"/>
          <w:b/>
          <w:kern w:val="0"/>
          <w:sz w:val="32"/>
          <w:szCs w:val="32"/>
        </w:rPr>
        <w:t>（高港区）</w:t>
      </w:r>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突出海军文化、历史文化、乡村文化和滨江景观风貌特色，深化医疗康养与旅游产业融合发展及业态创新，构建以海军文化为主题的红色旅游片区、以口岸雕花楼景区为主体的历史文化旅游片区、以凤栖湖景区为代表的生态休闲旅游片区、以中国医药城核心区为内核的医疗健康旅游片区、以乡村观光旅游和本地美食为特色的乡村旅游片区等五大片区，打造国内知名的长三角生态健康旅游目的地。</w:t>
      </w:r>
    </w:p>
    <w:bookmarkEnd w:id="25"/>
    <w:p>
      <w:pPr>
        <w:spacing w:line="560" w:lineRule="exact"/>
        <w:ind w:firstLine="643" w:firstLineChars="200"/>
        <w:rPr>
          <w:rFonts w:ascii="仿宋_GB2312" w:hAnsi="仿宋_GB2312" w:eastAsia="仿宋_GB2312" w:cs="仿宋_GB2312"/>
          <w:sz w:val="32"/>
          <w:szCs w:val="32"/>
        </w:rPr>
      </w:pPr>
      <w:bookmarkStart w:id="29" w:name="_Toc19186"/>
      <w:r>
        <w:rPr>
          <w:rFonts w:hint="eastAsia" w:ascii="仿宋" w:hAnsi="仿宋" w:eastAsia="仿宋" w:cs="Times New Roman"/>
          <w:b/>
          <w:kern w:val="0"/>
          <w:sz w:val="32"/>
          <w:szCs w:val="32"/>
        </w:rPr>
        <w:t>（四）兴化市</w:t>
      </w:r>
    </w:p>
    <w:p>
      <w:pPr>
        <w:pStyle w:val="39"/>
        <w:spacing w:line="560" w:lineRule="exact"/>
        <w:ind w:firstLine="640" w:firstLineChars="200"/>
        <w:jc w:val="both"/>
        <w:rPr>
          <w:rFonts w:ascii="仿宋_GB2312" w:eastAsia="仿宋_GB2312" w:cs="Times New Roman"/>
          <w:color w:val="auto"/>
          <w:sz w:val="32"/>
          <w:szCs w:val="32"/>
        </w:rPr>
      </w:pPr>
      <w:r>
        <w:rPr>
          <w:rFonts w:hint="eastAsia" w:ascii="仿宋" w:hAnsi="仿宋" w:eastAsia="仿宋" w:cs="Times New Roman"/>
          <w:bCs/>
          <w:color w:val="auto"/>
          <w:sz w:val="32"/>
          <w:szCs w:val="32"/>
        </w:rPr>
        <w:t>以千垛菜花、水上森林等品牌产品为依托，强化“水润兴化，如诗如画”的旅游形象，发掘板桥文化，构建“一心（兴化市中心城区）集聚、双核（千垛花海旅游度假区、金东门银北门历史文化街区）引爆、四大板块（水润兴化度假板块、古镇湖荡休闲板块、蟹乡水浒文化板块、希望田野生态板块）”的空间格局，重点打造“生态休闲之都、水浒文学之乡”两张旅游名片，展现里下河地区水乡风貌，建成国内一流全域旅游目的地城市，创建国家全域旅游示范区。</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（五）靖江市</w:t>
      </w:r>
    </w:p>
    <w:p>
      <w:pPr>
        <w:widowControl/>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以长江和密布的水网、森林、田园等生态环境为基底，以底蕴深厚的多彩文化为内涵，以名满天下的美食为特色，打响“中国四季美食名城”“中国汤包之乡”“中国河豚美食之乡”三张金牌名片，强化“赏大江美景·品靖江美食”的旅游形象，构建“一核（滨江文旅休闲度假核）、三区（马桥生祠乡村民俗旅游片区、季市孤山古镇祈福休闲片区、西来埭上人家风情片区）”的空间格局，将靖江打造成苏锡常泰日常休闲后花园、长三角田园度假和美食旅游目的地、国内外滨江休闲旅游目的地。</w:t>
      </w:r>
    </w:p>
    <w:bookmarkEnd w:id="29"/>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（六）泰兴市</w:t>
      </w:r>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依托红色文化、古镇文化、银杏文化、乡村文化、提琴文化、曲霞汤包、宣堡馄饨、黄桥烧饼等特色资源，重点发展红色旅游、古镇旅游、长江湿地观光旅游、银杏康养旅游和乡村休闲旅游，提升涉旅项目旅游功能，不断丰富“旅游+”业态，构建一环（乡村旅游联动环）、两核（城区旅游服务核、黄桥旅游吸引核）、两组团（宣堡生态康养组团、虹桥滨江休闲组团）的空间发展格局，打造长三角地区知名的红色旅游和乡村旅游目的地。</w:t>
      </w:r>
    </w:p>
    <w:p>
      <w:pPr>
        <w:jc w:val="center"/>
        <w:rPr>
          <w:rFonts w:ascii="仿宋" w:hAnsi="仿宋" w:eastAsia="仿宋"/>
          <w:bCs/>
          <w:sz w:val="32"/>
          <w:szCs w:val="32"/>
          <w:lang w:val="zh-CN"/>
        </w:rPr>
      </w:pPr>
      <w:r>
        <w:rPr>
          <w:rFonts w:ascii="仿宋" w:hAnsi="仿宋" w:eastAsia="仿宋"/>
          <w:bCs/>
          <w:sz w:val="32"/>
          <w:szCs w:val="32"/>
        </w:rPr>
        <w:drawing>
          <wp:anchor distT="0" distB="0" distL="114300" distR="114300" simplePos="0" relativeHeight="251659264" behindDoc="0" locked="0" layoutInCell="1" allowOverlap="1">
            <wp:simplePos x="0" y="0"/>
            <wp:positionH relativeFrom="column">
              <wp:posOffset>1055370</wp:posOffset>
            </wp:positionH>
            <wp:positionV relativeFrom="paragraph">
              <wp:posOffset>290830</wp:posOffset>
            </wp:positionV>
            <wp:extent cx="3060065" cy="3796030"/>
            <wp:effectExtent l="0" t="0" r="6985" b="13970"/>
            <wp:wrapSquare wrapText="bothSides"/>
            <wp:docPr id="1" name="图片 1" descr="7e0287cb62b765b72f52621eff492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e0287cb62b765b72f52621eff492be"/>
                    <pic:cNvPicPr>
                      <a:picLocks noChangeAspect="1"/>
                    </pic:cNvPicPr>
                  </pic:nvPicPr>
                  <pic:blipFill>
                    <a:blip r:embed="rId5"/>
                    <a:stretch>
                      <a:fillRect/>
                    </a:stretch>
                  </pic:blipFill>
                  <pic:spPr>
                    <a:xfrm>
                      <a:off x="0" y="0"/>
                      <a:ext cx="3060065" cy="3796030"/>
                    </a:xfrm>
                    <a:prstGeom prst="rect">
                      <a:avLst/>
                    </a:prstGeom>
                  </pic:spPr>
                </pic:pic>
              </a:graphicData>
            </a:graphic>
          </wp:anchor>
        </w:drawing>
      </w:r>
    </w:p>
    <w:p>
      <w:pPr>
        <w:rPr>
          <w:rFonts w:ascii="仿宋" w:hAnsi="仿宋" w:eastAsia="仿宋"/>
          <w:bCs/>
          <w:sz w:val="32"/>
          <w:szCs w:val="32"/>
          <w:lang w:val="zh-CN"/>
        </w:rPr>
      </w:pPr>
      <w:r>
        <w:rPr>
          <w:rFonts w:ascii="仿宋" w:hAnsi="仿宋" w:eastAsia="仿宋"/>
          <w:bCs/>
          <w:sz w:val="32"/>
          <w:szCs w:val="32"/>
          <w:lang w:val="zh-CN"/>
        </w:rPr>
        <w:br w:type="page"/>
      </w:r>
    </w:p>
    <w:p>
      <w:pPr>
        <w:rPr>
          <w:lang w:val="zh-CN"/>
        </w:rPr>
      </w:pPr>
    </w:p>
    <w:p>
      <w:pPr>
        <w:pStyle w:val="19"/>
        <w:spacing w:before="120" w:after="120" w:line="560" w:lineRule="exact"/>
        <w:rPr>
          <w:rFonts w:ascii="Arial" w:hAnsi="Arial" w:eastAsia="黑体" w:cstheme="minorBidi"/>
          <w:bCs w:val="0"/>
          <w:sz w:val="40"/>
          <w:szCs w:val="28"/>
        </w:rPr>
      </w:pPr>
      <w:bookmarkStart w:id="30" w:name="_Toc85036113"/>
      <w:r>
        <w:rPr>
          <w:rFonts w:hint="eastAsia" w:ascii="Arial" w:hAnsi="Arial" w:eastAsia="黑体" w:cstheme="minorBidi"/>
          <w:bCs w:val="0"/>
          <w:sz w:val="40"/>
          <w:szCs w:val="28"/>
        </w:rPr>
        <w:t>第四章  重点任务</w:t>
      </w:r>
      <w:bookmarkEnd w:id="30"/>
    </w:p>
    <w:p/>
    <w:p>
      <w:pPr>
        <w:pStyle w:val="8"/>
        <w:spacing w:before="140" w:after="140"/>
        <w:rPr>
          <w:rFonts w:ascii="Times New Roman" w:hAnsi="Times New Roman" w:eastAsia="宋体" w:cs="Times New Roman"/>
        </w:rPr>
      </w:pPr>
      <w:bookmarkStart w:id="31" w:name="_Toc85036114"/>
      <w:r>
        <w:rPr>
          <w:rFonts w:hint="eastAsia" w:ascii="Times New Roman" w:hAnsi="Times New Roman" w:eastAsia="宋体" w:cs="Times New Roman"/>
        </w:rPr>
        <w:t>一</w:t>
      </w:r>
      <w:bookmarkStart w:id="32" w:name="_Toc4824"/>
      <w:r>
        <w:rPr>
          <w:rFonts w:hint="eastAsia" w:ascii="Times New Roman" w:hAnsi="Times New Roman" w:eastAsia="宋体" w:cs="Times New Roman"/>
        </w:rPr>
        <w:t>、聚焦高水平，深度推进</w:t>
      </w:r>
      <w:r>
        <w:fldChar w:fldCharType="begin"/>
      </w:r>
      <w:r>
        <w:instrText xml:space="preserve"> HYPERLINK \l "_Toc26378" </w:instrText>
      </w:r>
      <w:r>
        <w:fldChar w:fldCharType="separate"/>
      </w:r>
      <w:r>
        <w:rPr>
          <w:rFonts w:hint="eastAsia" w:ascii="Times New Roman" w:hAnsi="Times New Roman" w:eastAsia="宋体" w:cs="Times New Roman"/>
        </w:rPr>
        <w:t>文旅融合</w:t>
      </w:r>
      <w:bookmarkEnd w:id="31"/>
      <w:r>
        <w:rPr>
          <w:rFonts w:hint="eastAsia" w:ascii="Times New Roman" w:hAnsi="Times New Roman" w:eastAsia="宋体" w:cs="Times New Roman"/>
        </w:rPr>
        <w:fldChar w:fldCharType="end"/>
      </w:r>
      <w:bookmarkEnd w:id="32"/>
    </w:p>
    <w:p>
      <w:pPr>
        <w:spacing w:line="560" w:lineRule="exact"/>
        <w:ind w:firstLine="640" w:firstLineChars="200"/>
        <w:rPr>
          <w:rFonts w:ascii="仿宋" w:hAnsi="仿宋" w:eastAsia="仿宋" w:cs="Times New Roman"/>
          <w:bCs/>
          <w:kern w:val="0"/>
          <w:sz w:val="32"/>
          <w:szCs w:val="32"/>
        </w:rPr>
      </w:pPr>
      <w:bookmarkStart w:id="33" w:name="_Toc3181"/>
      <w:r>
        <w:rPr>
          <w:rFonts w:hint="eastAsia" w:ascii="仿宋" w:hAnsi="仿宋" w:eastAsia="仿宋" w:cs="Times New Roman"/>
          <w:bCs/>
          <w:kern w:val="0"/>
          <w:sz w:val="32"/>
          <w:szCs w:val="32"/>
        </w:rPr>
        <w:t>坚持“以文塑旅、以旅彰文”的方向和“宜融则融、能融尽融”的原则，用文化的理念发展旅游，用旅游的载体传播文化，推动文化和旅游融合发展，推动文化和旅游在更广范围、更深层次、更高水平上深度融合，全面提升旅游产品内涵品质。</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（一）文化和旅游资源整合</w:t>
      </w:r>
    </w:p>
    <w:p>
      <w:pPr>
        <w:widowControl/>
        <w:spacing w:line="560" w:lineRule="exact"/>
        <w:ind w:firstLine="640" w:firstLineChars="200"/>
        <w:rPr>
          <w:rFonts w:ascii="仿宋" w:hAnsi="仿宋" w:eastAsia="仿宋" w:cs="Times New Roman"/>
          <w:b/>
          <w:kern w:val="0"/>
          <w:sz w:val="32"/>
          <w:szCs w:val="32"/>
        </w:rPr>
      </w:pPr>
      <w:r>
        <w:rPr>
          <w:rFonts w:hint="eastAsia" w:ascii="仿宋" w:hAnsi="仿宋" w:eastAsia="仿宋" w:cs="Times New Roman"/>
          <w:bCs/>
          <w:kern w:val="0"/>
          <w:sz w:val="32"/>
          <w:szCs w:val="32"/>
        </w:rPr>
        <w:t>提升艺术活动旅游吸引力，引导文化艺术活动向旅游者延伸服务，在旅游空间举办主题性艺术节、音乐节、戏剧节等。促进舞台艺术精品创造性转化为标志性实体文旅产品。支持文艺院团与旅游目的地共创共演共享，引导扶持一批具有地方特色的旅游演艺、沉浸式文旅产品等项目。鼓励发展旅游演艺集聚区、剧场群落，完善剧院剧场旅游演艺服务功能，规划建设一批嵌入景区、历史文化街区的小剧场。</w:t>
      </w:r>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活化一批非物质文化遗产，建立泰州木雕、高港宫灯、姜堰面塑、泰兴藤编、兴化木船、泰州盆景等非遗传统工艺工作室、工坊，推动非遗进景区、街区。以茶馆、书场、传习所、艺术沙龙等形式，展演泰州古乐、淮剧、锡剧、泰兴花鼓、板桥道情等传统戏曲舞蹈等。提升凤城河文旅融合水平，打造泰来面粉厂等文化创意综合体，建设古盐运河文化广场，推动泰州江苏盐税博物馆等增添沉浸式体验项目。</w:t>
      </w:r>
    </w:p>
    <w:p>
      <w:pPr>
        <w:widowControl/>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充分利用泰州历史名人辈出的优势，打造梅兰芳艺术、泰州学派、里下河文学、郑板桥书画等历史文化主题旅游线路和研学旅游目的地。实施“旅游产品</w:t>
      </w:r>
      <w:r>
        <w:rPr>
          <w:rFonts w:ascii="仿宋" w:hAnsi="仿宋" w:eastAsia="仿宋" w:cs="Times New Roman"/>
          <w:bCs/>
          <w:kern w:val="0"/>
          <w:sz w:val="32"/>
          <w:szCs w:val="32"/>
        </w:rPr>
        <w:t>+文化”铸魂计划，把民间传说、节日习俗、历史名人、地方戏剧、诗词歌赋等文化元素通过文化创意的复原、激活、嫁接、再造等方式融入旅游产品。深度挖掘和生动展示</w:t>
      </w:r>
      <w:r>
        <w:rPr>
          <w:rFonts w:hint="eastAsia" w:ascii="仿宋" w:hAnsi="仿宋" w:eastAsia="仿宋" w:cs="Times New Roman"/>
          <w:bCs/>
          <w:kern w:val="0"/>
          <w:sz w:val="32"/>
          <w:szCs w:val="32"/>
        </w:rPr>
        <w:t>泰州</w:t>
      </w:r>
      <w:r>
        <w:rPr>
          <w:rFonts w:ascii="仿宋" w:hAnsi="仿宋" w:eastAsia="仿宋" w:cs="Times New Roman"/>
          <w:bCs/>
          <w:kern w:val="0"/>
          <w:sz w:val="32"/>
          <w:szCs w:val="32"/>
        </w:rPr>
        <w:t>地方特色文旅资源</w:t>
      </w:r>
      <w:r>
        <w:rPr>
          <w:rFonts w:hint="eastAsia" w:ascii="仿宋" w:hAnsi="仿宋" w:eastAsia="仿宋" w:cs="Times New Roman"/>
          <w:bCs/>
          <w:kern w:val="0"/>
          <w:sz w:val="32"/>
          <w:szCs w:val="32"/>
        </w:rPr>
        <w:t>，创新举办各类文旅节庆活动，打造成文旅融合的平台载体</w:t>
      </w:r>
      <w:r>
        <w:rPr>
          <w:rFonts w:ascii="仿宋" w:hAnsi="仿宋" w:eastAsia="仿宋" w:cs="Times New Roman"/>
          <w:bCs/>
          <w:kern w:val="0"/>
          <w:sz w:val="32"/>
          <w:szCs w:val="32"/>
        </w:rPr>
        <w:t>。</w:t>
      </w:r>
    </w:p>
    <w:p>
      <w:pPr>
        <w:spacing w:line="560" w:lineRule="exact"/>
        <w:ind w:firstLine="640" w:firstLineChars="200"/>
        <w:rPr>
          <w:rFonts w:ascii="仿宋" w:hAnsi="仿宋" w:eastAsia="仿宋" w:cs="Times New Roman"/>
          <w:b/>
          <w:kern w:val="0"/>
          <w:sz w:val="32"/>
          <w:szCs w:val="32"/>
        </w:rPr>
      </w:pPr>
      <w:r>
        <w:rPr>
          <w:rFonts w:hint="eastAsia" w:ascii="仿宋" w:hAnsi="仿宋" w:eastAsia="仿宋"/>
          <w:bCs/>
          <w:sz w:val="32"/>
          <w:szCs w:val="32"/>
        </w:rPr>
        <w:t>不断放大“中国吉祥文化之乡”效应，推动吉祥文化与传统产业融合并进，打造“百姓日用”吉祥文化产业系列产品，培育形成具有泰州特色的吉祥书画、吉祥旅游品、吉祥家装品、吉祥工艺品、老行当吉祥日用品等“吉祥文化”产业集群。</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（二）文化和旅游产业融合</w:t>
      </w:r>
    </w:p>
    <w:p>
      <w:pPr>
        <w:widowControl/>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打造文化和旅游重点企业融合对接平台，支持文化和旅游企业跨界做优做强，推动形成一批具有较强竞争力的领军企业、骨干企业。推动文化创意、音乐、影视、动漫、网络文学、工艺美术、特色节庆等文化业态与旅游业融合，形成“文化创意+旅游”“音乐节+旅游”“影视+旅游”“动漫IP+旅游”“网络文学IP+旅游”“工艺美术+旅游”“特色节庆+旅游”等文化旅游新形态，拓展文化旅游产业发展空间。推动文化旅游与康养、教育、体育、科技、会展等现代服务业深度融合，创新推出研学、体育赛事、科技博览、养生养老、商务会展等旅游新业态，延长文化旅游产业链。加快泰州文创园、黄桥乐器产业园等重点文化园区和特色街区建设，构建“文商旅”一体化发展机制，创建一批文化和旅游产业融合发展示范区。</w:t>
      </w:r>
    </w:p>
    <w:tbl>
      <w:tblPr>
        <w:tblStyle w:val="20"/>
        <w:tblW w:w="8522" w:type="dxa"/>
        <w:jc w:val="center"/>
        <w:tblLayout w:type="fixed"/>
        <w:tblCellMar>
          <w:top w:w="0" w:type="dxa"/>
          <w:left w:w="0" w:type="dxa"/>
          <w:bottom w:w="0" w:type="dxa"/>
          <w:right w:w="0" w:type="dxa"/>
        </w:tblCellMar>
      </w:tblPr>
      <w:tblGrid>
        <w:gridCol w:w="8522"/>
      </w:tblGrid>
      <w:tr>
        <w:tblPrEx>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tcPr>
          <w:p>
            <w:pPr>
              <w:spacing w:line="380" w:lineRule="exact"/>
              <w:jc w:val="center"/>
              <w:rPr>
                <w:rFonts w:ascii="宋体" w:hAnsi="宋体" w:eastAsia="宋体" w:cs="宋体"/>
                <w:sz w:val="22"/>
                <w:szCs w:val="22"/>
              </w:rPr>
            </w:pPr>
            <w:r>
              <w:rPr>
                <w:rFonts w:hint="eastAsia" w:ascii="宋体" w:hAnsi="宋体" w:eastAsia="宋体" w:cs="宋体"/>
                <w:b/>
                <w:sz w:val="22"/>
                <w:szCs w:val="22"/>
              </w:rPr>
              <w:t xml:space="preserve">专栏1 </w:t>
            </w:r>
            <w:r>
              <w:rPr>
                <w:rFonts w:ascii="宋体" w:hAnsi="宋体" w:eastAsia="宋体" w:cs="宋体"/>
                <w:b/>
                <w:sz w:val="22"/>
                <w:szCs w:val="22"/>
              </w:rPr>
              <w:t xml:space="preserve"> </w:t>
            </w:r>
            <w:r>
              <w:rPr>
                <w:rFonts w:hint="eastAsia" w:ascii="宋体" w:hAnsi="宋体" w:eastAsia="宋体" w:cs="宋体"/>
                <w:b/>
                <w:sz w:val="22"/>
                <w:szCs w:val="22"/>
              </w:rPr>
              <w:t>文化产业与旅游产业融合业态</w:t>
            </w:r>
          </w:p>
        </w:tc>
      </w:tr>
      <w:tr>
        <w:tblPrEx>
          <w:tblCellMar>
            <w:top w:w="0" w:type="dxa"/>
            <w:left w:w="0" w:type="dxa"/>
            <w:bottom w:w="0" w:type="dxa"/>
            <w:right w:w="0" w:type="dxa"/>
          </w:tblCellMar>
        </w:tblPrEx>
        <w:trPr>
          <w:trHeight w:val="60" w:hRule="atLeast"/>
          <w:jc w:val="center"/>
        </w:trPr>
        <w:tc>
          <w:tcPr>
            <w:tcW w:w="8522"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pPr>
              <w:spacing w:line="380" w:lineRule="exact"/>
              <w:ind w:firstLine="442" w:firstLineChars="200"/>
              <w:rPr>
                <w:rFonts w:ascii="宋体" w:hAnsi="宋体" w:eastAsia="宋体" w:cs="宋体"/>
                <w:sz w:val="22"/>
                <w:szCs w:val="22"/>
              </w:rPr>
            </w:pPr>
            <w:r>
              <w:rPr>
                <w:rFonts w:hint="eastAsia" w:ascii="宋体" w:hAnsi="宋体" w:eastAsia="宋体" w:cs="宋体"/>
                <w:b/>
                <w:bCs/>
                <w:sz w:val="22"/>
                <w:szCs w:val="22"/>
              </w:rPr>
              <w:t>演艺+旅游</w:t>
            </w:r>
            <w:r>
              <w:rPr>
                <w:rFonts w:hint="eastAsia" w:ascii="宋体" w:hAnsi="宋体" w:eastAsia="宋体" w:cs="宋体"/>
                <w:sz w:val="22"/>
                <w:szCs w:val="22"/>
              </w:rPr>
              <w:t>：支持旅游演艺创作，基本实现4A级旅游景区和省级旅游度假区有1台主题演艺节目。推进业态模式创新，鼓励发展中小型、主题性、特色类、定制类旅游演艺项目。壮大演艺经营主体，打造跨界融合的旅游演艺产业集团。发展音乐教育，推进音乐场馆、音乐基地、音乐团体建设，培育地方性知名音乐节，探索“音乐+旅游”发展模式。</w:t>
            </w:r>
          </w:p>
          <w:p>
            <w:pPr>
              <w:spacing w:line="380" w:lineRule="exact"/>
              <w:ind w:firstLine="442" w:firstLineChars="200"/>
              <w:rPr>
                <w:rFonts w:ascii="宋体" w:hAnsi="宋体" w:eastAsia="宋体" w:cs="宋体"/>
                <w:sz w:val="22"/>
                <w:szCs w:val="22"/>
              </w:rPr>
            </w:pPr>
            <w:r>
              <w:rPr>
                <w:rFonts w:hint="eastAsia" w:ascii="宋体" w:hAnsi="宋体" w:eastAsia="宋体" w:cs="宋体"/>
                <w:b/>
                <w:bCs/>
                <w:sz w:val="22"/>
                <w:szCs w:val="22"/>
              </w:rPr>
              <w:t>娱乐+旅游</w:t>
            </w:r>
            <w:r>
              <w:rPr>
                <w:rFonts w:hint="eastAsia" w:ascii="宋体" w:hAnsi="宋体" w:eastAsia="宋体" w:cs="宋体"/>
                <w:sz w:val="22"/>
                <w:szCs w:val="22"/>
              </w:rPr>
              <w:t>：引导和鼓励文化娱乐行业转型升级，丰富经营业态，探索“娱乐场所+旅游”等多业态经营模式。支持高科技旅游娱乐企业发展，积极研发新概念景区游乐设施。探索“景区+游乐”等景区娱乐新模式。引进国内外主题游乐品牌，推动本土主题游乐企业集团化、现代化化发展。提升主题公园的旅游功能。</w:t>
            </w:r>
          </w:p>
          <w:p>
            <w:pPr>
              <w:spacing w:line="380" w:lineRule="exact"/>
              <w:ind w:firstLine="442" w:firstLineChars="200"/>
              <w:rPr>
                <w:rFonts w:ascii="宋体" w:hAnsi="宋体" w:eastAsia="宋体" w:cs="宋体"/>
                <w:sz w:val="22"/>
                <w:szCs w:val="22"/>
              </w:rPr>
            </w:pPr>
            <w:r>
              <w:rPr>
                <w:rFonts w:hint="eastAsia" w:ascii="宋体" w:hAnsi="宋体" w:eastAsia="宋体" w:cs="宋体"/>
                <w:b/>
                <w:bCs/>
                <w:sz w:val="22"/>
                <w:szCs w:val="22"/>
              </w:rPr>
              <w:t>影视+旅游</w:t>
            </w:r>
            <w:r>
              <w:rPr>
                <w:rFonts w:hint="eastAsia" w:ascii="宋体" w:hAnsi="宋体" w:eastAsia="宋体" w:cs="宋体"/>
                <w:sz w:val="22"/>
                <w:szCs w:val="22"/>
              </w:rPr>
              <w:t xml:space="preserve">：吸引有实力的影视制作公司来泰州投资拍摄，推出一大批具有泰州文化和旅游元素的影视精品，借助影视剧和“明星效应”宣传推广泰州文化和旅游。利用热点影视IP，开发一批旅游产品和线路，延伸影视旅游产业链，丰富影视旅游产品，推出更多互动式影视体验项目。加快泰州影视精品“走出去”，吸引境外游客“走进来”。 </w:t>
            </w:r>
          </w:p>
          <w:p>
            <w:pPr>
              <w:spacing w:line="380" w:lineRule="exact"/>
              <w:ind w:firstLine="442" w:firstLineChars="200"/>
              <w:rPr>
                <w:rFonts w:ascii="宋体" w:hAnsi="宋体" w:eastAsia="宋体" w:cs="宋体"/>
                <w:sz w:val="22"/>
                <w:szCs w:val="22"/>
              </w:rPr>
            </w:pPr>
            <w:r>
              <w:rPr>
                <w:rFonts w:hint="eastAsia" w:ascii="宋体" w:hAnsi="宋体" w:eastAsia="宋体" w:cs="宋体"/>
                <w:b/>
                <w:bCs/>
                <w:sz w:val="22"/>
                <w:szCs w:val="22"/>
              </w:rPr>
              <w:t>创意+旅游</w:t>
            </w:r>
            <w:r>
              <w:rPr>
                <w:rFonts w:hint="eastAsia" w:ascii="宋体" w:hAnsi="宋体" w:eastAsia="宋体" w:cs="宋体"/>
                <w:sz w:val="22"/>
                <w:szCs w:val="22"/>
              </w:rPr>
              <w:t>：通过文化创意和设计服务，对旅游业进行改造提升，打造新的旅游热点和旅游形态。探索动漫产业与旅游业的融合，用好动漫IP，举办动漫表演、电竞大赛等，吸引年轻游客。支持发展文创产品，建立文创产品研发、投融资服务和营销推广平台，鼓励文化文物单位开展文创产品开发，推动文创产品进旅游景区、度假区。</w:t>
            </w:r>
          </w:p>
          <w:p>
            <w:pPr>
              <w:spacing w:line="380" w:lineRule="exact"/>
              <w:ind w:firstLine="442" w:firstLineChars="200"/>
              <w:rPr>
                <w:rFonts w:ascii="宋体" w:hAnsi="宋体" w:eastAsia="宋体" w:cs="宋体"/>
                <w:sz w:val="22"/>
                <w:szCs w:val="22"/>
              </w:rPr>
            </w:pPr>
            <w:r>
              <w:rPr>
                <w:rFonts w:hint="eastAsia" w:ascii="宋体" w:hAnsi="宋体" w:eastAsia="宋体" w:cs="宋体"/>
                <w:b/>
                <w:bCs/>
                <w:sz w:val="22"/>
                <w:szCs w:val="22"/>
              </w:rPr>
              <w:t>工艺美术+旅游</w:t>
            </w:r>
            <w:r>
              <w:rPr>
                <w:rFonts w:hint="eastAsia" w:ascii="宋体" w:hAnsi="宋体" w:eastAsia="宋体" w:cs="宋体"/>
                <w:sz w:val="22"/>
                <w:szCs w:val="22"/>
              </w:rPr>
              <w:t>：推动各类工艺美术产业集群、文化产业园区和工艺美术企业协同发展，建立原材料供应、创意研发、加工制造、销售流通、市场服务等功能为一体的产业链和生产体系。支持旅游景区结合自身资源建设特色街区、工美市集、工美基地等，开发一批特色手工艺旅游体验项目，推动传统工艺产品展示销售。</w:t>
            </w:r>
          </w:p>
        </w:tc>
      </w:tr>
    </w:tbl>
    <w:p>
      <w:pPr>
        <w:spacing w:before="159" w:beforeLines="50"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（三）文化和旅游公共服务融合</w:t>
      </w:r>
    </w:p>
    <w:p>
      <w:pPr>
        <w:pStyle w:val="26"/>
        <w:tabs>
          <w:tab w:val="right" w:leader="dot" w:pos="8300"/>
        </w:tabs>
        <w:spacing w:line="560" w:lineRule="exact"/>
        <w:ind w:firstLine="640" w:firstLineChars="200"/>
        <w:jc w:val="both"/>
        <w:rPr>
          <w:rFonts w:ascii="仿宋" w:hAnsi="仿宋" w:eastAsia="仿宋"/>
          <w:b/>
          <w:sz w:val="32"/>
          <w:szCs w:val="32"/>
        </w:rPr>
      </w:pPr>
      <w:r>
        <w:rPr>
          <w:rFonts w:hint="eastAsia" w:ascii="仿宋" w:hAnsi="仿宋" w:eastAsia="仿宋"/>
          <w:bCs/>
          <w:sz w:val="32"/>
          <w:szCs w:val="32"/>
        </w:rPr>
        <w:t>开展文化和旅游公共服务机构功能融合工作，</w:t>
      </w:r>
      <w:r>
        <w:rPr>
          <w:rFonts w:hint="eastAsia" w:ascii="仿宋" w:hAnsi="仿宋" w:eastAsia="仿宋"/>
          <w:bCs/>
          <w:sz w:val="32"/>
          <w:szCs w:val="32"/>
          <w:lang w:val="zh-CN"/>
        </w:rPr>
        <w:t>推动博物馆（美术馆）创建成为A级旅游景区，</w:t>
      </w:r>
      <w:r>
        <w:rPr>
          <w:rFonts w:hint="eastAsia" w:ascii="仿宋" w:hAnsi="仿宋" w:eastAsia="仿宋"/>
          <w:bCs/>
          <w:sz w:val="32"/>
          <w:szCs w:val="32"/>
        </w:rPr>
        <w:t>推动一批</w:t>
      </w:r>
      <w:r>
        <w:rPr>
          <w:rFonts w:hint="eastAsia" w:ascii="仿宋" w:hAnsi="仿宋" w:eastAsia="仿宋"/>
          <w:bCs/>
          <w:sz w:val="32"/>
          <w:szCs w:val="32"/>
          <w:lang w:val="zh-CN"/>
        </w:rPr>
        <w:t>农村文化礼堂提升打造为乡村旅游服务中心。推进游客集散中心、旅游场所等旅游公共服务设施文化内涵建设，彰显地方特色。</w:t>
      </w:r>
      <w:r>
        <w:rPr>
          <w:rFonts w:hint="eastAsia" w:ascii="仿宋" w:hAnsi="仿宋" w:eastAsia="仿宋"/>
          <w:bCs/>
          <w:sz w:val="32"/>
          <w:szCs w:val="32"/>
        </w:rPr>
        <w:t>支持公共图书、文化活动、公益演出进入旅游景区、度假区，引导当地系列文化艺术活动向旅游者延伸服务。促进公共图书馆、文化馆、博物馆、纪念馆、美术馆、科技馆、爱国主义教育基地等向游客延时开放。</w:t>
      </w:r>
      <w:r>
        <w:rPr>
          <w:rFonts w:ascii="仿宋" w:hAnsi="仿宋" w:eastAsia="仿宋"/>
          <w:bCs/>
          <w:sz w:val="32"/>
          <w:szCs w:val="32"/>
        </w:rPr>
        <w:t>各类文化场馆</w:t>
      </w:r>
      <w:r>
        <w:rPr>
          <w:rFonts w:hint="eastAsia" w:ascii="仿宋" w:hAnsi="仿宋" w:eastAsia="仿宋"/>
          <w:bCs/>
          <w:sz w:val="32"/>
          <w:szCs w:val="32"/>
        </w:rPr>
        <w:t>应</w:t>
      </w:r>
      <w:r>
        <w:rPr>
          <w:rFonts w:ascii="仿宋" w:hAnsi="仿宋" w:eastAsia="仿宋"/>
          <w:bCs/>
          <w:sz w:val="32"/>
          <w:szCs w:val="32"/>
        </w:rPr>
        <w:t>适应游客参观、休闲、购物的新需求，进一步完善设施功能、丰富产品供给、提升服务水平，努力打造有温度、有故事、有品味、有体验的文化客厅。</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（四）文化与旅游融合制度和载体建设</w:t>
      </w:r>
    </w:p>
    <w:p>
      <w:pPr>
        <w:pStyle w:val="26"/>
        <w:tabs>
          <w:tab w:val="right" w:leader="dot" w:pos="8300"/>
        </w:tabs>
        <w:spacing w:line="560" w:lineRule="exact"/>
        <w:ind w:firstLine="640" w:firstLineChars="200"/>
        <w:jc w:val="both"/>
        <w:rPr>
          <w:rFonts w:ascii="仿宋" w:hAnsi="仿宋" w:eastAsia="仿宋"/>
          <w:bCs/>
          <w:sz w:val="32"/>
          <w:szCs w:val="32"/>
        </w:rPr>
      </w:pPr>
      <w:r>
        <w:rPr>
          <w:rFonts w:hint="eastAsia" w:ascii="仿宋" w:hAnsi="仿宋" w:eastAsia="仿宋"/>
          <w:bCs/>
          <w:sz w:val="32"/>
          <w:szCs w:val="32"/>
        </w:rPr>
        <w:t>建立文化和旅游深度融合的制度体系和工作机制，探索重大文化旅游项目文化专项规划设计制度和文化评估制度。实施文旅融合IP工程，探索文旅融合IP的衍生机制和商业模式。实施导游、领队和</w:t>
      </w:r>
      <w:r>
        <w:rPr>
          <w:rFonts w:hint="eastAsia" w:ascii="仿宋" w:hAnsi="仿宋" w:eastAsia="仿宋"/>
          <w:bCs/>
          <w:sz w:val="32"/>
          <w:szCs w:val="32"/>
          <w:lang w:val="zh-CN"/>
        </w:rPr>
        <w:t>讲解员</w:t>
      </w:r>
      <w:r>
        <w:rPr>
          <w:rFonts w:hint="eastAsia" w:ascii="仿宋" w:hAnsi="仿宋" w:eastAsia="仿宋"/>
          <w:bCs/>
          <w:sz w:val="32"/>
          <w:szCs w:val="32"/>
        </w:rPr>
        <w:t>文化素养研培计划及培养项目，提升讲好文化故事的能力。在全域旅游创建中，以文化为引领，坚持文旅融合、城乡一体、</w:t>
      </w:r>
      <w:r>
        <w:rPr>
          <w:rFonts w:ascii="仿宋" w:hAnsi="仿宋" w:eastAsia="仿宋"/>
          <w:bCs/>
          <w:sz w:val="32"/>
          <w:szCs w:val="32"/>
        </w:rPr>
        <w:t>主客共享，不仅让人们感到</w:t>
      </w:r>
      <w:r>
        <w:rPr>
          <w:rFonts w:hint="eastAsia" w:ascii="仿宋" w:hAnsi="仿宋" w:eastAsia="仿宋"/>
          <w:bCs/>
          <w:sz w:val="32"/>
          <w:szCs w:val="32"/>
        </w:rPr>
        <w:t>“</w:t>
      </w:r>
      <w:r>
        <w:rPr>
          <w:rFonts w:ascii="仿宋" w:hAnsi="仿宋" w:eastAsia="仿宋"/>
          <w:bCs/>
          <w:sz w:val="32"/>
          <w:szCs w:val="32"/>
        </w:rPr>
        <w:t>处处有景”，而且感受“处处有文化”。在</w:t>
      </w:r>
      <w:r>
        <w:rPr>
          <w:rFonts w:hint="eastAsia" w:ascii="仿宋" w:hAnsi="仿宋" w:eastAsia="仿宋"/>
          <w:bCs/>
          <w:sz w:val="32"/>
          <w:szCs w:val="32"/>
        </w:rPr>
        <w:t>旅游景区和</w:t>
      </w:r>
      <w:r>
        <w:rPr>
          <w:rFonts w:ascii="仿宋" w:hAnsi="仿宋" w:eastAsia="仿宋"/>
          <w:bCs/>
          <w:sz w:val="32"/>
          <w:szCs w:val="32"/>
        </w:rPr>
        <w:t>旅游度假区创建中，</w:t>
      </w:r>
      <w:r>
        <w:rPr>
          <w:rFonts w:hint="eastAsia" w:ascii="仿宋" w:hAnsi="仿宋" w:eastAsia="仿宋"/>
          <w:bCs/>
          <w:sz w:val="32"/>
          <w:szCs w:val="32"/>
        </w:rPr>
        <w:t>把更多文化内容注入景区、度假区，通过文化和特色景观的深度融合彰显资源价值、提升吸引力</w:t>
      </w:r>
      <w:r>
        <w:rPr>
          <w:rFonts w:ascii="仿宋" w:hAnsi="仿宋" w:eastAsia="仿宋"/>
          <w:bCs/>
          <w:sz w:val="32"/>
          <w:szCs w:val="32"/>
        </w:rPr>
        <w:t>。</w:t>
      </w:r>
    </w:p>
    <w:p>
      <w:pPr>
        <w:pStyle w:val="8"/>
        <w:spacing w:before="140" w:after="140"/>
        <w:rPr>
          <w:rFonts w:ascii="Times New Roman" w:hAnsi="Times New Roman" w:eastAsia="宋体" w:cs="Times New Roman"/>
          <w:color w:val="000000" w:themeColor="text1"/>
          <w14:textFill>
            <w14:solidFill>
              <w14:schemeClr w14:val="tx1"/>
            </w14:solidFill>
          </w14:textFill>
        </w:rPr>
      </w:pPr>
      <w:bookmarkStart w:id="34" w:name="_Toc85036115"/>
      <w:bookmarkStart w:id="35" w:name="_Toc30050"/>
      <w:bookmarkStart w:id="36" w:name="_Toc31131"/>
      <w:bookmarkStart w:id="37" w:name="_Toc59018945"/>
      <w:r>
        <w:rPr>
          <w:rFonts w:hint="eastAsia" w:ascii="Times New Roman" w:hAnsi="Times New Roman" w:eastAsia="宋体" w:cs="Times New Roman"/>
          <w:color w:val="000000" w:themeColor="text1"/>
          <w14:textFill>
            <w14:solidFill>
              <w14:schemeClr w14:val="tx1"/>
            </w14:solidFill>
          </w14:textFill>
        </w:rPr>
        <w:t>二、注重高质量，壮大产业综合实力</w:t>
      </w:r>
      <w:bookmarkEnd w:id="34"/>
    </w:p>
    <w:p>
      <w:pPr>
        <w:pStyle w:val="26"/>
        <w:tabs>
          <w:tab w:val="right" w:leader="dot" w:pos="8300"/>
        </w:tabs>
        <w:spacing w:line="560" w:lineRule="exact"/>
        <w:ind w:firstLine="640" w:firstLineChars="200"/>
        <w:jc w:val="both"/>
        <w:rPr>
          <w:rFonts w:ascii="仿宋" w:hAnsi="仿宋" w:eastAsia="仿宋"/>
          <w:bCs/>
          <w:sz w:val="32"/>
          <w:szCs w:val="32"/>
        </w:rPr>
      </w:pPr>
      <w:r>
        <w:rPr>
          <w:rFonts w:ascii="仿宋" w:hAnsi="仿宋" w:eastAsia="仿宋"/>
          <w:bCs/>
          <w:sz w:val="32"/>
          <w:szCs w:val="32"/>
        </w:rPr>
        <w:t>推进</w:t>
      </w:r>
      <w:r>
        <w:rPr>
          <w:rFonts w:hint="eastAsia" w:ascii="仿宋" w:hAnsi="仿宋" w:eastAsia="仿宋"/>
          <w:bCs/>
          <w:sz w:val="32"/>
          <w:szCs w:val="32"/>
        </w:rPr>
        <w:t>旅游</w:t>
      </w:r>
      <w:r>
        <w:rPr>
          <w:rFonts w:ascii="仿宋" w:hAnsi="仿宋" w:eastAsia="仿宋"/>
          <w:bCs/>
          <w:sz w:val="32"/>
          <w:szCs w:val="32"/>
        </w:rPr>
        <w:t>产业基础高级化、产业链现代化</w:t>
      </w:r>
      <w:r>
        <w:rPr>
          <w:rFonts w:hint="eastAsia" w:ascii="仿宋" w:hAnsi="仿宋" w:eastAsia="仿宋"/>
          <w:bCs/>
          <w:sz w:val="32"/>
          <w:szCs w:val="32"/>
        </w:rPr>
        <w:t>，</w:t>
      </w:r>
      <w:r>
        <w:rPr>
          <w:rFonts w:ascii="仿宋" w:hAnsi="仿宋" w:eastAsia="仿宋"/>
          <w:bCs/>
          <w:sz w:val="32"/>
          <w:szCs w:val="32"/>
        </w:rPr>
        <w:t>形成具有更强创新力、更高附加值、更安全可靠的</w:t>
      </w:r>
      <w:r>
        <w:rPr>
          <w:rFonts w:hint="eastAsia" w:ascii="仿宋" w:hAnsi="仿宋" w:eastAsia="仿宋"/>
          <w:bCs/>
          <w:sz w:val="32"/>
          <w:szCs w:val="32"/>
        </w:rPr>
        <w:t>旅游</w:t>
      </w:r>
      <w:r>
        <w:rPr>
          <w:rFonts w:ascii="仿宋" w:hAnsi="仿宋" w:eastAsia="仿宋"/>
          <w:bCs/>
          <w:sz w:val="32"/>
          <w:szCs w:val="32"/>
        </w:rPr>
        <w:t>产业链供应链</w:t>
      </w:r>
      <w:r>
        <w:rPr>
          <w:rFonts w:hint="eastAsia" w:ascii="仿宋" w:hAnsi="仿宋" w:eastAsia="仿宋"/>
          <w:bCs/>
          <w:sz w:val="32"/>
          <w:szCs w:val="32"/>
        </w:rPr>
        <w:t>，提高旅游产业质量和效益，壮大泰州旅游产业综合实力。</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（一）项目固链</w:t>
      </w:r>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遴选优质旅游项目</w:t>
      </w:r>
      <w:r>
        <w:rPr>
          <w:rFonts w:ascii="仿宋" w:hAnsi="仿宋" w:eastAsia="仿宋" w:cs="Times New Roman"/>
          <w:bCs/>
          <w:kern w:val="0"/>
          <w:sz w:val="32"/>
          <w:szCs w:val="32"/>
        </w:rPr>
        <w:t>，发挥</w:t>
      </w:r>
      <w:r>
        <w:rPr>
          <w:rFonts w:hint="eastAsia" w:ascii="仿宋" w:hAnsi="仿宋" w:eastAsia="仿宋" w:cs="Times New Roman"/>
          <w:bCs/>
          <w:kern w:val="0"/>
          <w:sz w:val="32"/>
          <w:szCs w:val="32"/>
        </w:rPr>
        <w:t>项目</w:t>
      </w:r>
      <w:r>
        <w:rPr>
          <w:rFonts w:ascii="仿宋" w:hAnsi="仿宋" w:eastAsia="仿宋" w:cs="Times New Roman"/>
          <w:bCs/>
          <w:kern w:val="0"/>
          <w:sz w:val="32"/>
          <w:szCs w:val="32"/>
        </w:rPr>
        <w:t>投资对</w:t>
      </w:r>
      <w:r>
        <w:rPr>
          <w:rFonts w:hint="eastAsia" w:ascii="仿宋" w:hAnsi="仿宋" w:eastAsia="仿宋" w:cs="Times New Roman"/>
          <w:bCs/>
          <w:kern w:val="0"/>
          <w:sz w:val="32"/>
          <w:szCs w:val="32"/>
        </w:rPr>
        <w:t>旅游产业链</w:t>
      </w:r>
      <w:r>
        <w:rPr>
          <w:rFonts w:ascii="仿宋" w:hAnsi="仿宋" w:eastAsia="仿宋" w:cs="Times New Roman"/>
          <w:bCs/>
          <w:kern w:val="0"/>
          <w:sz w:val="32"/>
          <w:szCs w:val="32"/>
        </w:rPr>
        <w:t>的关键作用</w:t>
      </w:r>
      <w:r>
        <w:rPr>
          <w:rFonts w:hint="eastAsia" w:ascii="仿宋" w:hAnsi="仿宋" w:eastAsia="仿宋" w:cs="Times New Roman"/>
          <w:bCs/>
          <w:kern w:val="0"/>
          <w:sz w:val="32"/>
          <w:szCs w:val="32"/>
        </w:rPr>
        <w:t>，增强发展后劲与活力。</w:t>
      </w:r>
      <w:r>
        <w:rPr>
          <w:rFonts w:hint="eastAsia" w:ascii="仿宋" w:hAnsi="仿宋" w:eastAsia="仿宋"/>
          <w:bCs/>
          <w:sz w:val="32"/>
          <w:szCs w:val="32"/>
        </w:rPr>
        <w:t>重点建设海军文化园、中国健康城、凤城河休闲旅游区、溱湖旅游景区、泰州乡村旅游康养产业综合体、稻河景区、秋雪湖生态景区、口岸雕花楼景区二期、泰州戏曲基地、泰来面粉厂等十大重点项目；支持金东门古街区、天目山文化综合体、东方重工文旅基地、天德湖景区、祁巷民俗村、古罗塘旅游文化景区、涵东街历史文化景区、施耐庵文化园、泰兴国家古银杏公园、靖江徐周村田园综合体等项目建设。</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（二）龙头强链</w:t>
      </w:r>
    </w:p>
    <w:p>
      <w:pPr>
        <w:pStyle w:val="26"/>
        <w:tabs>
          <w:tab w:val="right" w:leader="dot" w:pos="8300"/>
        </w:tabs>
        <w:spacing w:line="560" w:lineRule="exact"/>
        <w:ind w:firstLine="640" w:firstLineChars="200"/>
        <w:jc w:val="both"/>
        <w:rPr>
          <w:rFonts w:ascii="仿宋" w:hAnsi="仿宋" w:eastAsia="仿宋"/>
          <w:bCs/>
          <w:sz w:val="32"/>
          <w:szCs w:val="32"/>
        </w:rPr>
      </w:pPr>
      <w:r>
        <w:rPr>
          <w:rFonts w:hint="eastAsia" w:ascii="仿宋" w:hAnsi="仿宋" w:eastAsia="仿宋"/>
          <w:bCs/>
          <w:sz w:val="32"/>
          <w:szCs w:val="32"/>
        </w:rPr>
        <w:t>发展壮大旅游市场主体，培育一批以旅游为主业、以融合发展为方向、具有较强竞争力的大型文旅企业，打造更多细分领域领军企业。鼓励市属国有企业进入文旅领域，支持泰州市文旅集团通过兼并重组将景区、酒店、地产、服务等其他国有资产并入文旅集团，扩大商业地产、酒店管理、会展运营管理、旅游文创、旅游服务、旅游演艺等经营范围，通过资本运作壮大综合实力。支持各市、区组建文旅产业集团。发挥大企业引领支撑作用，推动产业链上中下游、大中小企业协同发展、融通创新。到2025年，力争市文旅集团进入全国100强，培育1—2家在全国有一定影响力的创新型文旅新业态企业。</w:t>
      </w:r>
    </w:p>
    <w:p>
      <w:pPr>
        <w:spacing w:line="560" w:lineRule="exact"/>
        <w:ind w:firstLine="643" w:firstLineChars="200"/>
        <w:rPr>
          <w:rFonts w:ascii="仿宋" w:hAnsi="仿宋" w:eastAsia="仿宋" w:cs="Times New Roman"/>
          <w:b/>
          <w:kern w:val="0"/>
          <w:sz w:val="32"/>
          <w:szCs w:val="32"/>
          <w:lang w:val="zh-TW"/>
        </w:rPr>
      </w:pPr>
      <w:bookmarkStart w:id="38" w:name="_Toc59018949"/>
      <w:bookmarkStart w:id="39" w:name="_Toc490"/>
      <w:r>
        <w:rPr>
          <w:rFonts w:hint="eastAsia" w:ascii="仿宋" w:hAnsi="仿宋" w:eastAsia="仿宋" w:cs="Times New Roman"/>
          <w:b/>
          <w:kern w:val="0"/>
          <w:sz w:val="32"/>
          <w:szCs w:val="32"/>
        </w:rPr>
        <w:t>（三）</w:t>
      </w:r>
      <w:r>
        <w:rPr>
          <w:rFonts w:hint="eastAsia" w:ascii="仿宋" w:hAnsi="仿宋" w:eastAsia="仿宋" w:cs="Times New Roman"/>
          <w:b/>
          <w:kern w:val="0"/>
          <w:sz w:val="32"/>
          <w:szCs w:val="32"/>
          <w:lang w:val="zh-TW"/>
        </w:rPr>
        <w:t>特色兴链</w:t>
      </w:r>
      <w:bookmarkEnd w:id="38"/>
      <w:bookmarkEnd w:id="39"/>
    </w:p>
    <w:p>
      <w:pPr>
        <w:pStyle w:val="26"/>
        <w:tabs>
          <w:tab w:val="right" w:leader="dot" w:pos="8300"/>
        </w:tabs>
        <w:spacing w:line="560" w:lineRule="exact"/>
        <w:ind w:firstLine="640" w:firstLineChars="200"/>
        <w:jc w:val="both"/>
        <w:rPr>
          <w:rFonts w:ascii="仿宋" w:hAnsi="仿宋" w:eastAsia="仿宋"/>
          <w:bCs/>
          <w:sz w:val="32"/>
          <w:szCs w:val="32"/>
        </w:rPr>
      </w:pPr>
      <w:bookmarkStart w:id="40" w:name="_Toc25657"/>
      <w:bookmarkStart w:id="41" w:name="_Toc10648"/>
      <w:bookmarkStart w:id="42" w:name="_Toc27112"/>
      <w:r>
        <w:rPr>
          <w:rFonts w:hint="eastAsia" w:ascii="仿宋" w:hAnsi="仿宋" w:eastAsia="仿宋"/>
          <w:bCs/>
          <w:sz w:val="32"/>
          <w:szCs w:val="32"/>
        </w:rPr>
        <w:t>坚持特色发展战略，对各旅游产业要素进行差异定位和优势引导，积极打造富有泰州特色的现代旅游产业体系，避免低水平同质化竞争。</w:t>
      </w:r>
    </w:p>
    <w:p>
      <w:pPr>
        <w:pStyle w:val="26"/>
        <w:tabs>
          <w:tab w:val="right" w:leader="dot" w:pos="8300"/>
        </w:tabs>
        <w:spacing w:line="560" w:lineRule="exact"/>
        <w:ind w:firstLine="643" w:firstLineChars="200"/>
        <w:jc w:val="both"/>
        <w:rPr>
          <w:rFonts w:ascii="仿宋" w:hAnsi="仿宋" w:eastAsia="仿宋"/>
          <w:bCs/>
          <w:sz w:val="32"/>
          <w:szCs w:val="32"/>
        </w:rPr>
      </w:pPr>
      <w:r>
        <w:rPr>
          <w:rFonts w:hint="eastAsia" w:ascii="仿宋" w:hAnsi="仿宋" w:eastAsia="仿宋"/>
          <w:b/>
          <w:sz w:val="32"/>
          <w:szCs w:val="32"/>
        </w:rPr>
        <w:t>1.“泰好住”</w:t>
      </w:r>
      <w:bookmarkEnd w:id="40"/>
      <w:bookmarkEnd w:id="41"/>
      <w:bookmarkEnd w:id="42"/>
      <w:r>
        <w:rPr>
          <w:rFonts w:hint="eastAsia" w:ascii="仿宋" w:hAnsi="仿宋" w:eastAsia="仿宋"/>
          <w:b/>
          <w:sz w:val="32"/>
          <w:szCs w:val="32"/>
        </w:rPr>
        <w:t>系列。</w:t>
      </w:r>
      <w:r>
        <w:rPr>
          <w:rFonts w:hint="eastAsia" w:ascii="仿宋" w:hAnsi="仿宋" w:eastAsia="仿宋"/>
          <w:bCs/>
          <w:sz w:val="32"/>
          <w:szCs w:val="32"/>
        </w:rPr>
        <w:t>建设绿地酒店等一批高星级或国际品牌酒店，引进跨区连锁经营品牌运营商；促进耘朵民宿、溱溱客栈、兰亭雅舍民宿客栈、小杨人家、银杏深处有人家等乡村民宿精品化发展，引入帐篷酒店、森林木屋、营地滨水酒店、漂流酒店、水上酒店等多种住宿业态，大力发展自驾车和房车营地，稳步打造“泰好住”品牌。</w:t>
      </w:r>
    </w:p>
    <w:p>
      <w:pPr>
        <w:pStyle w:val="26"/>
        <w:tabs>
          <w:tab w:val="right" w:leader="dot" w:pos="8300"/>
        </w:tabs>
        <w:spacing w:line="560" w:lineRule="exact"/>
        <w:ind w:firstLine="643" w:firstLineChars="200"/>
        <w:jc w:val="both"/>
        <w:rPr>
          <w:rFonts w:ascii="仿宋" w:hAnsi="仿宋" w:eastAsia="仿宋"/>
          <w:bCs/>
          <w:sz w:val="32"/>
          <w:szCs w:val="32"/>
        </w:rPr>
      </w:pPr>
      <w:bookmarkStart w:id="43" w:name="_Toc28140"/>
      <w:bookmarkStart w:id="44" w:name="_Toc13977"/>
      <w:bookmarkStart w:id="45" w:name="_Toc30489"/>
      <w:r>
        <w:rPr>
          <w:rFonts w:hint="eastAsia" w:ascii="仿宋" w:hAnsi="仿宋" w:eastAsia="仿宋"/>
          <w:b/>
          <w:sz w:val="32"/>
          <w:szCs w:val="32"/>
        </w:rPr>
        <w:t>2</w:t>
      </w:r>
      <w:bookmarkEnd w:id="43"/>
      <w:bookmarkEnd w:id="44"/>
      <w:bookmarkEnd w:id="45"/>
      <w:r>
        <w:rPr>
          <w:rFonts w:hint="eastAsia" w:ascii="仿宋" w:hAnsi="仿宋" w:eastAsia="仿宋"/>
          <w:b/>
          <w:sz w:val="32"/>
          <w:szCs w:val="32"/>
        </w:rPr>
        <w:t>.“泰好吃”系列。</w:t>
      </w:r>
      <w:r>
        <w:rPr>
          <w:rFonts w:hint="eastAsia" w:ascii="仿宋" w:hAnsi="仿宋" w:eastAsia="仿宋"/>
          <w:bCs/>
          <w:sz w:val="32"/>
          <w:szCs w:val="32"/>
        </w:rPr>
        <w:t>重点开发泰州早茶餐饮品牌，打造泰州湖鲜、靖江美食、祁巷八大碗、兴化水席、养生膳食等美食系列，形成地方餐饮品牌；发挥泰州美食集聚效应，在泰州老街、八圩美食街、长江生态文化街区、口岸雕花楼街区、古罗塘旅游文化景区等地建设特色餐饮街区、休闲夜市，深入打造“泰好吃”品牌。</w:t>
      </w:r>
    </w:p>
    <w:p>
      <w:pPr>
        <w:pStyle w:val="26"/>
        <w:tabs>
          <w:tab w:val="right" w:leader="dot" w:pos="8300"/>
        </w:tabs>
        <w:spacing w:line="560" w:lineRule="exact"/>
        <w:ind w:firstLine="643" w:firstLineChars="200"/>
        <w:jc w:val="both"/>
        <w:rPr>
          <w:rFonts w:ascii="仿宋" w:hAnsi="仿宋" w:eastAsia="仿宋"/>
          <w:bCs/>
          <w:sz w:val="32"/>
          <w:szCs w:val="32"/>
        </w:rPr>
      </w:pPr>
      <w:bookmarkStart w:id="46" w:name="_Toc15167"/>
      <w:bookmarkStart w:id="47" w:name="_Toc13293"/>
      <w:bookmarkStart w:id="48" w:name="_Toc20070"/>
      <w:r>
        <w:rPr>
          <w:rFonts w:hint="eastAsia" w:ascii="仿宋" w:hAnsi="仿宋" w:eastAsia="仿宋"/>
          <w:b/>
          <w:sz w:val="32"/>
          <w:szCs w:val="32"/>
        </w:rPr>
        <w:t>3</w:t>
      </w:r>
      <w:bookmarkEnd w:id="46"/>
      <w:bookmarkEnd w:id="47"/>
      <w:bookmarkEnd w:id="48"/>
      <w:r>
        <w:rPr>
          <w:rFonts w:hint="eastAsia" w:ascii="仿宋" w:hAnsi="仿宋" w:eastAsia="仿宋"/>
          <w:b/>
          <w:sz w:val="32"/>
          <w:szCs w:val="32"/>
        </w:rPr>
        <w:t>.“泰好购”系列。</w:t>
      </w:r>
      <w:r>
        <w:rPr>
          <w:rFonts w:hint="eastAsia" w:ascii="仿宋" w:hAnsi="仿宋" w:eastAsia="仿宋"/>
          <w:bCs/>
          <w:sz w:val="32"/>
          <w:szCs w:val="32"/>
        </w:rPr>
        <w:t>创意开发乐器、世泽木雕、靖江盆景、竹泓木船、泰州面塑、泰兴木偶、兴化拾破画、大地蓝绢纺、靖江肉脯等旅游商品。对靖江汤包、溱湖簖蟹、泓膏大闸蟹、黄桥烧饼、泰兴白果、靖江香沙芋等地方土特产品强化地理标识，并进行深加工和包装，全力打响“泰好购”品牌。</w:t>
      </w:r>
    </w:p>
    <w:p>
      <w:pPr>
        <w:pStyle w:val="26"/>
        <w:tabs>
          <w:tab w:val="right" w:leader="dot" w:pos="8300"/>
        </w:tabs>
        <w:spacing w:line="560" w:lineRule="exact"/>
        <w:ind w:firstLine="643" w:firstLineChars="200"/>
        <w:jc w:val="both"/>
        <w:rPr>
          <w:rFonts w:ascii="仿宋" w:hAnsi="仿宋" w:eastAsia="仿宋"/>
          <w:bCs/>
          <w:sz w:val="32"/>
          <w:szCs w:val="32"/>
        </w:rPr>
      </w:pPr>
      <w:bookmarkStart w:id="49" w:name="_Toc10036"/>
      <w:bookmarkStart w:id="50" w:name="_Toc14100"/>
      <w:bookmarkStart w:id="51" w:name="_Toc24664"/>
      <w:r>
        <w:rPr>
          <w:rFonts w:hint="eastAsia" w:ascii="仿宋" w:hAnsi="仿宋" w:eastAsia="仿宋"/>
          <w:b/>
          <w:sz w:val="32"/>
          <w:szCs w:val="32"/>
        </w:rPr>
        <w:t>4</w:t>
      </w:r>
      <w:bookmarkEnd w:id="49"/>
      <w:bookmarkEnd w:id="50"/>
      <w:bookmarkEnd w:id="51"/>
      <w:r>
        <w:rPr>
          <w:rFonts w:hint="eastAsia" w:ascii="仿宋" w:hAnsi="仿宋" w:eastAsia="仿宋"/>
          <w:b/>
          <w:sz w:val="32"/>
          <w:szCs w:val="32"/>
        </w:rPr>
        <w:t>.“泰好玩”系列。</w:t>
      </w:r>
      <w:r>
        <w:rPr>
          <w:rFonts w:hint="eastAsia" w:ascii="仿宋" w:hAnsi="仿宋" w:eastAsia="仿宋"/>
          <w:bCs/>
          <w:sz w:val="32"/>
          <w:szCs w:val="32"/>
        </w:rPr>
        <w:t>策划凤城河实景演出、溱湖夜游、古镇夜购等旅游活动，在饮香书场、梅兰芳大剧院、泰州大剧院常规性举行具有浓郁地方特色的小剧场演出，持续举办泰兴印达灯会、沙沟灯会等民间娱乐活动，引入成熟的主题公园品牌，建设大型主题公园，营造“泰好玩”品牌。</w:t>
      </w:r>
    </w:p>
    <w:p>
      <w:pPr>
        <w:spacing w:line="560" w:lineRule="exact"/>
        <w:ind w:firstLine="643" w:firstLineChars="200"/>
        <w:rPr>
          <w:rFonts w:ascii="仿宋" w:hAnsi="仿宋" w:eastAsia="仿宋" w:cs="Times New Roman"/>
          <w:b/>
          <w:kern w:val="0"/>
          <w:sz w:val="32"/>
          <w:szCs w:val="32"/>
          <w:lang w:val="zh-TW"/>
        </w:rPr>
      </w:pPr>
      <w:bookmarkStart w:id="52" w:name="_Toc59018950"/>
      <w:bookmarkStart w:id="53" w:name="_Toc15131"/>
      <w:r>
        <w:rPr>
          <w:rFonts w:hint="eastAsia" w:ascii="仿宋" w:hAnsi="仿宋" w:eastAsia="仿宋" w:cs="Times New Roman"/>
          <w:b/>
          <w:kern w:val="0"/>
          <w:sz w:val="32"/>
          <w:szCs w:val="32"/>
        </w:rPr>
        <w:t>（四）融合</w:t>
      </w:r>
      <w:r>
        <w:rPr>
          <w:rFonts w:hint="eastAsia" w:ascii="仿宋" w:hAnsi="仿宋" w:eastAsia="仿宋" w:cs="Times New Roman"/>
          <w:b/>
          <w:kern w:val="0"/>
          <w:sz w:val="32"/>
          <w:szCs w:val="32"/>
          <w:lang w:val="zh-TW"/>
        </w:rPr>
        <w:t>延链</w:t>
      </w:r>
      <w:bookmarkEnd w:id="52"/>
      <w:bookmarkEnd w:id="53"/>
    </w:p>
    <w:p>
      <w:pPr>
        <w:spacing w:line="560" w:lineRule="exact"/>
        <w:ind w:firstLine="640" w:firstLineChars="200"/>
        <w:rPr>
          <w:rFonts w:ascii="仿宋" w:hAnsi="仿宋" w:eastAsia="仿宋"/>
          <w:bCs/>
          <w:sz w:val="32"/>
          <w:szCs w:val="32"/>
        </w:rPr>
      </w:pPr>
      <w:r>
        <w:rPr>
          <w:rFonts w:hint="eastAsia" w:ascii="仿宋" w:hAnsi="仿宋" w:eastAsia="仿宋" w:cs="Times New Roman"/>
          <w:bCs/>
          <w:kern w:val="0"/>
          <w:sz w:val="32"/>
          <w:szCs w:val="32"/>
        </w:rPr>
        <w:t>发挥旅游业关联程度高、综合带动能力强的优势，推动“旅游+”向“+旅游”转变，延伸产业链，创造新价值，形成更多新的增长点和增长极。</w:t>
      </w:r>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lang w:val="zh-TW"/>
        </w:rPr>
        <w:t>1.健康+旅游</w:t>
      </w:r>
    </w:p>
    <w:p>
      <w:pPr>
        <w:spacing w:line="560" w:lineRule="exact"/>
        <w:ind w:firstLine="640" w:firstLineChars="200"/>
        <w:rPr>
          <w:rFonts w:ascii="仿宋" w:hAnsi="仿宋" w:eastAsia="仿宋"/>
          <w:bCs/>
          <w:sz w:val="32"/>
          <w:szCs w:val="32"/>
        </w:rPr>
      </w:pPr>
      <w:r>
        <w:rPr>
          <w:rFonts w:hint="eastAsia" w:ascii="仿宋" w:hAnsi="仿宋" w:eastAsia="仿宋" w:cs="Times New Roman"/>
          <w:bCs/>
          <w:kern w:val="0"/>
          <w:sz w:val="32"/>
          <w:szCs w:val="32"/>
        </w:rPr>
        <w:t>依托长江经济带大健康产业集聚发展试点，以医药制造为支撑，</w:t>
      </w:r>
      <w:r>
        <w:rPr>
          <w:rFonts w:hint="eastAsia" w:ascii="仿宋" w:hAnsi="仿宋" w:eastAsia="仿宋"/>
          <w:bCs/>
          <w:sz w:val="32"/>
          <w:szCs w:val="32"/>
        </w:rPr>
        <w:t>推进“医+游”“养+游”“食+游”融合，加快中国医药城康健医疗区核心区项目建设，创建国家中医药健康旅游示范区。推进江苏省工业旅游示范区扬子江龙凤堂展示馆建设，支持靖江恒艾大健康产业园等医药企业创建工业旅游示范区。围绕兴化中医博物馆、泰州中医院泰和堂国医馆、兴化上池斋老字号中药房等发展中医药文化专题旅游，依托凤城河、稻河、溱湖景区、乌巾荡度假区、李中水上森林景区、泰兴国家古银杏公园等成熟景区，融入温泉、药膳、美食、理疗、徒步、骑行等健康旅游体验，推出生态康养旅游项目和精品线路，着力凸显泰州“康养休闲胜地”功能定位。</w:t>
      </w:r>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lang w:val="zh-TW"/>
        </w:rPr>
        <w:t>2.乡村+旅游</w:t>
      </w:r>
    </w:p>
    <w:p>
      <w:pPr>
        <w:pStyle w:val="26"/>
        <w:tabs>
          <w:tab w:val="right" w:leader="dot" w:pos="8300"/>
        </w:tabs>
        <w:spacing w:line="560" w:lineRule="exact"/>
        <w:ind w:firstLine="640" w:firstLineChars="200"/>
        <w:rPr>
          <w:rFonts w:ascii="仿宋" w:hAnsi="仿宋" w:eastAsia="仿宋"/>
          <w:bCs/>
          <w:sz w:val="32"/>
          <w:szCs w:val="32"/>
        </w:rPr>
      </w:pPr>
      <w:r>
        <w:rPr>
          <w:rFonts w:hint="eastAsia" w:ascii="仿宋" w:hAnsi="仿宋" w:eastAsia="仿宋"/>
          <w:bCs/>
          <w:sz w:val="32"/>
          <w:szCs w:val="32"/>
        </w:rPr>
        <w:t>充分整合传统农村的生产、生活和生态功能，引导农业生产空间景观优化，推进农业特色产业规模化发展、生态农产品旅游商品化开发，促进农、林、渔与旅游融合发展，培育和发展一批集生产、观光、休闲、体验于一体的综合型景观农业、创意农业和乡村旅游。在“四好农村路”建设的基础上，引导特色农林渔业旅游项目向兴化1号公路沿线、海陵区北部、姜堰区溱湖大道沿线、高港区泗白线、泰兴新334省道沿线、靖江江平公路沿线集聚，形成优势农业旅游产业带。</w:t>
      </w:r>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lang w:val="zh-TW"/>
        </w:rPr>
        <w:t>3.体育+旅游</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鼓励凤城河、溱湖、大纵湖、陈堡草荡等景区建设水上运动训练基地，利用凤栖湖景区承办第二十届省运会山地自行车、攀岩和航模等比赛项目的契机，打造体旅融合新高地，开展皮划艇、摩托艇、潜水等项目的运动培训，以及摩托艇、快艇等水上游乐项目与游泳比赛。支持兴化乡村旅游带等各景点联合开发乘热气球观赏花海，乘滑翔伞俯瞰田园美景等项目。打造棋文化名城品牌，积极申办大型国际国内体育旅游活动赛事，举办国际国内围棋、象棋等系列棋类竞赛与培训活动，推动马拉松、铁人三项等体育赛事活动发展。</w:t>
      </w:r>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rPr>
        <w:t>4.</w:t>
      </w:r>
      <w:r>
        <w:rPr>
          <w:rFonts w:hint="eastAsia" w:ascii="仿宋" w:hAnsi="仿宋" w:eastAsia="仿宋" w:cs="Times New Roman"/>
          <w:b/>
          <w:kern w:val="0"/>
          <w:sz w:val="32"/>
          <w:szCs w:val="32"/>
          <w:lang w:val="zh-TW"/>
        </w:rPr>
        <w:t>商贸+旅游</w:t>
      </w:r>
    </w:p>
    <w:p>
      <w:pPr>
        <w:pStyle w:val="26"/>
        <w:tabs>
          <w:tab w:val="right" w:leader="dot" w:pos="8300"/>
        </w:tabs>
        <w:spacing w:line="560" w:lineRule="exact"/>
        <w:ind w:firstLine="640" w:firstLineChars="200"/>
        <w:jc w:val="both"/>
        <w:rPr>
          <w:rFonts w:ascii="仿宋" w:hAnsi="仿宋" w:eastAsia="仿宋"/>
          <w:bCs/>
          <w:sz w:val="32"/>
          <w:szCs w:val="32"/>
        </w:rPr>
      </w:pPr>
      <w:r>
        <w:rPr>
          <w:rFonts w:hint="eastAsia" w:ascii="仿宋" w:hAnsi="仿宋" w:eastAsia="仿宋"/>
          <w:bCs/>
          <w:sz w:val="32"/>
          <w:szCs w:val="32"/>
        </w:rPr>
        <w:t xml:space="preserve">通过老城区商业设施旅游化改造恢复传统商业活力，配套休息座椅、旅游服务点等设施，挖掘文化内涵，利用高科技场景吸引游客。历史文化街区重点发展特色购物、特色美食和特色商品，推动百年老店集中新开。推动溱湖绿洲簖蟹市场、安丰国蟹市场等龙头市场旅游化改造，鼓励特色旅游商品进驻景区、服务区。以中国（泰州）国际医药博览会为依托，大力发展会展旅游。 </w:t>
      </w:r>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rPr>
        <w:t>5.</w:t>
      </w:r>
      <w:r>
        <w:rPr>
          <w:rFonts w:hint="eastAsia" w:ascii="仿宋" w:hAnsi="仿宋" w:eastAsia="仿宋" w:cs="Times New Roman"/>
          <w:b/>
          <w:kern w:val="0"/>
          <w:sz w:val="32"/>
          <w:szCs w:val="32"/>
          <w:lang w:val="zh-TW"/>
        </w:rPr>
        <w:t>工业+旅游</w:t>
      </w:r>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依托新扬子造船有限公司、扬子鑫福造船有限公司等企业发展游轮制造业，扶持兴化竹泓木船、林海沙滩车等相关企业做大做强，打造集研发、生产、展示、销售于一体的旅游装备生产基地、交易中心和工业旅游示范基地。对泰来面粉厂、梅兰春酒厂、靖江骥洋食品厂进行改造，打造集工业遗存展示、文创开发、旅游休闲于一体的泰州文旅新地标。</w:t>
      </w:r>
    </w:p>
    <w:p>
      <w:pPr>
        <w:pStyle w:val="8"/>
        <w:spacing w:before="140" w:after="140"/>
        <w:rPr>
          <w:rFonts w:ascii="Times New Roman" w:hAnsi="Times New Roman" w:eastAsia="宋体" w:cs="Times New Roman"/>
          <w:color w:val="000000" w:themeColor="text1"/>
          <w14:textFill>
            <w14:solidFill>
              <w14:schemeClr w14:val="tx1"/>
            </w14:solidFill>
          </w14:textFill>
        </w:rPr>
      </w:pPr>
      <w:bookmarkStart w:id="54" w:name="_Toc85036116"/>
      <w:r>
        <w:rPr>
          <w:rFonts w:hint="eastAsia" w:ascii="Times New Roman" w:hAnsi="Times New Roman" w:eastAsia="宋体" w:cs="Times New Roman"/>
          <w:color w:val="000000" w:themeColor="text1"/>
          <w14:textFill>
            <w14:solidFill>
              <w14:schemeClr w14:val="tx1"/>
            </w14:solidFill>
          </w14:textFill>
        </w:rPr>
        <w:t>三、增强竞争力，丰富旅游产品供给</w:t>
      </w:r>
      <w:bookmarkEnd w:id="35"/>
      <w:bookmarkEnd w:id="54"/>
    </w:p>
    <w:p>
      <w:pPr>
        <w:spacing w:line="560" w:lineRule="exact"/>
        <w:ind w:firstLine="640" w:firstLineChars="200"/>
        <w:rPr>
          <w:rFonts w:ascii="仿宋" w:hAnsi="仿宋" w:eastAsia="仿宋" w:cs="Times New Roman"/>
          <w:bCs/>
          <w:kern w:val="0"/>
          <w:sz w:val="32"/>
          <w:szCs w:val="32"/>
        </w:rPr>
      </w:pPr>
      <w:r>
        <w:rPr>
          <w:rFonts w:ascii="仿宋" w:hAnsi="仿宋" w:eastAsia="仿宋" w:cs="Times New Roman"/>
          <w:bCs/>
          <w:kern w:val="0"/>
          <w:sz w:val="32"/>
          <w:szCs w:val="32"/>
        </w:rPr>
        <w:t>突出</w:t>
      </w:r>
      <w:r>
        <w:rPr>
          <w:rFonts w:hint="eastAsia" w:ascii="仿宋" w:hAnsi="仿宋" w:eastAsia="仿宋" w:cs="Times New Roman"/>
          <w:bCs/>
          <w:kern w:val="0"/>
          <w:sz w:val="32"/>
          <w:szCs w:val="32"/>
        </w:rPr>
        <w:t>泰州</w:t>
      </w:r>
      <w:r>
        <w:rPr>
          <w:rFonts w:ascii="仿宋" w:hAnsi="仿宋" w:eastAsia="仿宋" w:cs="Times New Roman"/>
          <w:bCs/>
          <w:kern w:val="0"/>
          <w:sz w:val="32"/>
          <w:szCs w:val="32"/>
        </w:rPr>
        <w:t>“水”与“文化”资源特色，</w:t>
      </w:r>
      <w:r>
        <w:rPr>
          <w:rFonts w:hint="eastAsia" w:ascii="仿宋" w:hAnsi="仿宋" w:eastAsia="仿宋" w:cs="Times New Roman"/>
          <w:bCs/>
          <w:kern w:val="0"/>
          <w:sz w:val="32"/>
          <w:szCs w:val="32"/>
        </w:rPr>
        <w:t>重点发展康养和休闲旅游产品系列，形成与周边地区差异化的产品体系，领略“幸福水天堂”的无穷魅力。</w:t>
      </w:r>
      <w:r>
        <w:rPr>
          <w:rFonts w:ascii="仿宋" w:hAnsi="仿宋" w:eastAsia="仿宋" w:cs="Times New Roman"/>
          <w:bCs/>
          <w:kern w:val="0"/>
          <w:sz w:val="32"/>
          <w:szCs w:val="32"/>
        </w:rPr>
        <w:t>将春季的花海景观和庙会节庆、夏季的研学旅游和亲子旅游、秋季的银杏彩林和康养美食、冬季的养生温泉和庙会民俗相结合，进行四季主题的打造与设计，推动打造“四季全时”旅游体验模式</w:t>
      </w:r>
      <w:r>
        <w:rPr>
          <w:rFonts w:hint="eastAsia" w:ascii="仿宋" w:hAnsi="仿宋" w:eastAsia="仿宋" w:cs="Times New Roman"/>
          <w:bCs/>
          <w:kern w:val="0"/>
          <w:sz w:val="32"/>
          <w:szCs w:val="32"/>
        </w:rPr>
        <w:t>。</w:t>
      </w:r>
    </w:p>
    <w:p>
      <w:pPr>
        <w:spacing w:line="560" w:lineRule="exact"/>
        <w:ind w:firstLine="643" w:firstLineChars="200"/>
        <w:rPr>
          <w:rFonts w:ascii="仿宋" w:hAnsi="仿宋" w:eastAsia="仿宋" w:cs="Times New Roman"/>
          <w:b/>
          <w:kern w:val="0"/>
          <w:sz w:val="32"/>
          <w:szCs w:val="32"/>
          <w:lang w:val="zh-TW"/>
        </w:rPr>
      </w:pPr>
      <w:bookmarkStart w:id="55" w:name="_Toc27563"/>
      <w:r>
        <w:rPr>
          <w:rFonts w:hint="eastAsia" w:ascii="仿宋" w:hAnsi="仿宋" w:eastAsia="仿宋" w:cs="Times New Roman"/>
          <w:b/>
          <w:kern w:val="0"/>
          <w:sz w:val="32"/>
          <w:szCs w:val="32"/>
          <w:lang w:val="zh-TW"/>
        </w:rPr>
        <w:t>（</w:t>
      </w:r>
      <w:r>
        <w:rPr>
          <w:rFonts w:hint="eastAsia" w:ascii="仿宋" w:hAnsi="仿宋" w:eastAsia="仿宋" w:cs="Times New Roman"/>
          <w:b/>
          <w:kern w:val="0"/>
          <w:sz w:val="32"/>
          <w:szCs w:val="32"/>
        </w:rPr>
        <w:t>一</w:t>
      </w:r>
      <w:r>
        <w:rPr>
          <w:rFonts w:hint="eastAsia" w:ascii="仿宋" w:hAnsi="仿宋" w:eastAsia="仿宋" w:cs="Times New Roman"/>
          <w:b/>
          <w:kern w:val="0"/>
          <w:sz w:val="32"/>
          <w:szCs w:val="32"/>
          <w:lang w:val="zh-TW"/>
        </w:rPr>
        <w:t>）扶持发展红色旅游</w:t>
      </w:r>
      <w:bookmarkEnd w:id="55"/>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以海军诞生地、新四军黄桥战役纪念馆、杨根思烈士陵园、陈毅三进泰州谈判处旧址、苏陈苏北党校旧址、泰州烈士陵园、沙沟苏中公学旧址、靖江弯腰沟革命遗址、靖江“东线第一帆”纪念公园等为依托，凝练红色精神，丰富红色旅游核心支撑。打造精品红色旅游项目和线路，加快建设海军文化体验园，推动黄桥红色研学旅游试验区建设，提升泰州红色旅游整体发展水平。</w:t>
      </w:r>
    </w:p>
    <w:p>
      <w:pPr>
        <w:spacing w:line="560" w:lineRule="exact"/>
        <w:ind w:firstLine="643" w:firstLineChars="200"/>
        <w:rPr>
          <w:rFonts w:ascii="仿宋" w:hAnsi="仿宋" w:eastAsia="仿宋" w:cs="Times New Roman"/>
          <w:b/>
          <w:kern w:val="0"/>
          <w:sz w:val="32"/>
          <w:szCs w:val="32"/>
          <w:lang w:val="zh-TW"/>
        </w:rPr>
      </w:pPr>
      <w:bookmarkStart w:id="56" w:name="_Toc19322"/>
      <w:r>
        <w:rPr>
          <w:rFonts w:hint="eastAsia" w:ascii="仿宋" w:hAnsi="仿宋" w:eastAsia="仿宋" w:cs="Times New Roman"/>
          <w:b/>
          <w:kern w:val="0"/>
          <w:sz w:val="32"/>
          <w:szCs w:val="32"/>
        </w:rPr>
        <w:t>（二）</w:t>
      </w:r>
      <w:r>
        <w:rPr>
          <w:rFonts w:hint="eastAsia" w:ascii="仿宋" w:hAnsi="仿宋" w:eastAsia="仿宋" w:cs="Times New Roman"/>
          <w:b/>
          <w:kern w:val="0"/>
          <w:sz w:val="32"/>
          <w:szCs w:val="32"/>
          <w:lang w:val="zh-TW"/>
        </w:rPr>
        <w:t>着力推进都市休闲旅游</w:t>
      </w:r>
      <w:bookmarkEnd w:id="56"/>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深度挖掘海陵、高港、兴化城市文化内涵和资源优势，支持海陵区创建文化特色鲜明的国家级旅游休闲街区。推进旅游演艺、文化创意、时尚购物、美食体验、商务会展等旅游产品建设，提升都市旅游品牌的知名度、美誉度和影响力。支持凤城河按照AAAAA级景区标准提档升级，建设10个城市旅游特色购物街区、5个文化创意街区。</w:t>
      </w:r>
    </w:p>
    <w:p>
      <w:pPr>
        <w:spacing w:line="560" w:lineRule="exact"/>
        <w:ind w:firstLine="643" w:firstLineChars="200"/>
        <w:rPr>
          <w:rFonts w:ascii="仿宋" w:hAnsi="仿宋" w:eastAsia="仿宋" w:cs="Times New Roman"/>
          <w:b/>
          <w:kern w:val="0"/>
          <w:sz w:val="32"/>
          <w:szCs w:val="32"/>
        </w:rPr>
      </w:pPr>
      <w:bookmarkStart w:id="57" w:name="_Toc32156"/>
      <w:r>
        <w:rPr>
          <w:rFonts w:hint="eastAsia" w:ascii="仿宋" w:hAnsi="仿宋" w:eastAsia="仿宋" w:cs="Times New Roman"/>
          <w:b/>
          <w:kern w:val="0"/>
          <w:sz w:val="32"/>
          <w:szCs w:val="32"/>
        </w:rPr>
        <w:t>（三）</w:t>
      </w:r>
      <w:r>
        <w:rPr>
          <w:rFonts w:hint="eastAsia" w:ascii="仿宋" w:hAnsi="仿宋" w:eastAsia="仿宋" w:cs="Times New Roman"/>
          <w:b/>
          <w:kern w:val="0"/>
          <w:sz w:val="32"/>
          <w:szCs w:val="32"/>
          <w:lang w:val="zh-TW"/>
        </w:rPr>
        <w:t>培育湿地度假旅游</w:t>
      </w:r>
      <w:bookmarkEnd w:id="57"/>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利用好泰州丰富的湖荡和长江水资源，挖掘新潜力、激活新要素，大力发展湿地度假旅游项目。依托溱湖、乌巾荡等资源，实施水陆联动，开发四季度假产品，拉长湿地旅游产业链，大力发展生态湿地度假旅游。支持溱湖省级旅游度假区省级排名进位，并创建国家级旅游度假区。支持乌巾荡旅游度假区完善住宿设施，提升省级旅游度假区服务品质。</w:t>
      </w:r>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rPr>
        <w:t>（四）</w:t>
      </w:r>
      <w:r>
        <w:rPr>
          <w:rFonts w:hint="eastAsia" w:ascii="仿宋" w:hAnsi="仿宋" w:eastAsia="仿宋" w:cs="Times New Roman"/>
          <w:b/>
          <w:kern w:val="0"/>
          <w:sz w:val="32"/>
          <w:szCs w:val="32"/>
          <w:lang w:val="zh-TW"/>
        </w:rPr>
        <w:t>鼓励发展研学旅行</w:t>
      </w:r>
    </w:p>
    <w:p>
      <w:pPr>
        <w:spacing w:line="560" w:lineRule="exact"/>
        <w:ind w:firstLine="640" w:firstLineChars="200"/>
        <w:rPr>
          <w:rFonts w:ascii="仿宋" w:hAnsi="仿宋" w:eastAsia="仿宋"/>
          <w:bCs/>
          <w:sz w:val="32"/>
          <w:szCs w:val="32"/>
        </w:rPr>
      </w:pPr>
      <w:r>
        <w:rPr>
          <w:rFonts w:hint="eastAsia" w:ascii="仿宋" w:hAnsi="仿宋" w:eastAsia="仿宋" w:cs="Times New Roman"/>
          <w:bCs/>
          <w:kern w:val="0"/>
          <w:sz w:val="32"/>
          <w:szCs w:val="32"/>
        </w:rPr>
        <w:t>统筹市域研学资源，推动建立适合不同阶段、不同类型、不同层次的研学旅行产品体系。加强研学旅行的课程设计，依托历史文化资源、乡村资源和文化场馆，建设一批主题突出、内容丰富、配套完善、服务规范、安全有序的研学旅游目的地和示范基地。支持祁巷创建“中国研学旅游目的地”和“全国研学旅游示范基地”品牌。</w:t>
      </w:r>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rPr>
        <w:t>（五）</w:t>
      </w:r>
      <w:r>
        <w:rPr>
          <w:rFonts w:hint="eastAsia" w:ascii="仿宋" w:hAnsi="仿宋" w:eastAsia="仿宋" w:cs="Times New Roman"/>
          <w:b/>
          <w:kern w:val="0"/>
          <w:sz w:val="32"/>
          <w:szCs w:val="32"/>
          <w:lang w:val="zh-TW"/>
        </w:rPr>
        <w:t>推动自驾车旅居车旅游</w:t>
      </w:r>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主动顺应自驾游快速发展的趋势，不断提升自驾游服务体系，建设不同等级的风景道体系，通过增加临时停车点、观景设施，</w:t>
      </w:r>
      <w:r>
        <w:rPr>
          <w:rFonts w:ascii="仿宋" w:hAnsi="仿宋" w:eastAsia="仿宋" w:cs="Times New Roman"/>
          <w:bCs/>
          <w:kern w:val="0"/>
          <w:sz w:val="32"/>
          <w:szCs w:val="32"/>
        </w:rPr>
        <w:t>完善</w:t>
      </w:r>
      <w:r>
        <w:rPr>
          <w:rFonts w:hint="eastAsia" w:ascii="仿宋" w:hAnsi="仿宋" w:eastAsia="仿宋" w:cs="Times New Roman"/>
          <w:bCs/>
          <w:kern w:val="0"/>
          <w:sz w:val="32"/>
          <w:szCs w:val="32"/>
        </w:rPr>
        <w:t>旅游交通和营地标识等举措，完善道路系统旅游功能。强化营地的安全防护和消防设施建设，加快自驾游呼叫中心和紧急救援基地建设。到2025年，重点建成10个以上公共服务完善的自驾车旅居车营地。</w:t>
      </w:r>
    </w:p>
    <w:bookmarkEnd w:id="36"/>
    <w:bookmarkEnd w:id="37"/>
    <w:p>
      <w:pPr>
        <w:pStyle w:val="8"/>
        <w:spacing w:before="140" w:after="140"/>
        <w:rPr>
          <w:rFonts w:ascii="Times New Roman" w:hAnsi="Times New Roman" w:eastAsia="宋体" w:cs="Times New Roman"/>
          <w:color w:val="000000" w:themeColor="text1"/>
          <w14:textFill>
            <w14:solidFill>
              <w14:schemeClr w14:val="tx1"/>
            </w14:solidFill>
          </w14:textFill>
        </w:rPr>
      </w:pPr>
      <w:bookmarkStart w:id="58" w:name="_Toc85036117"/>
      <w:bookmarkStart w:id="59" w:name="_Toc14951"/>
      <w:r>
        <w:rPr>
          <w:rFonts w:hint="eastAsia" w:ascii="Times New Roman" w:hAnsi="Times New Roman" w:eastAsia="宋体" w:cs="Times New Roman"/>
          <w:color w:val="000000" w:themeColor="text1"/>
          <w14:textFill>
            <w14:solidFill>
              <w14:schemeClr w14:val="tx1"/>
            </w14:solidFill>
          </w14:textFill>
        </w:rPr>
        <w:t>四、畅通双循环，激发旅消费新活力</w:t>
      </w:r>
      <w:bookmarkEnd w:id="58"/>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实施扩大内需战略，深化供给侧结构性改革，</w:t>
      </w:r>
      <w:r>
        <w:rPr>
          <w:rFonts w:ascii="仿宋" w:hAnsi="仿宋" w:eastAsia="仿宋" w:cs="Times New Roman"/>
          <w:bCs/>
          <w:kern w:val="0"/>
          <w:sz w:val="32"/>
          <w:szCs w:val="32"/>
        </w:rPr>
        <w:t>培育消费热点</w:t>
      </w:r>
      <w:r>
        <w:rPr>
          <w:rFonts w:hint="eastAsia" w:ascii="仿宋" w:hAnsi="仿宋" w:eastAsia="仿宋" w:cs="Times New Roman"/>
          <w:bCs/>
          <w:kern w:val="0"/>
          <w:sz w:val="32"/>
          <w:szCs w:val="32"/>
        </w:rPr>
        <w:t>，促进旅游消费升级，</w:t>
      </w:r>
      <w:r>
        <w:rPr>
          <w:rFonts w:ascii="仿宋" w:hAnsi="仿宋" w:eastAsia="仿宋" w:cs="Times New Roman"/>
          <w:bCs/>
          <w:kern w:val="0"/>
          <w:sz w:val="32"/>
          <w:szCs w:val="32"/>
        </w:rPr>
        <w:t>努力形成需求牵引供给、供给创造需求的更高水平动态平衡</w:t>
      </w:r>
      <w:r>
        <w:rPr>
          <w:rFonts w:hint="eastAsia" w:ascii="仿宋" w:hAnsi="仿宋" w:eastAsia="仿宋" w:cs="Times New Roman"/>
          <w:bCs/>
          <w:kern w:val="0"/>
          <w:sz w:val="32"/>
          <w:szCs w:val="32"/>
        </w:rPr>
        <w:t>，为泰州构建新发展格局作出积极贡献。</w:t>
      </w:r>
    </w:p>
    <w:p>
      <w:pPr>
        <w:spacing w:line="560" w:lineRule="exact"/>
        <w:ind w:firstLine="643" w:firstLineChars="200"/>
        <w:rPr>
          <w:rFonts w:ascii="仿宋" w:hAnsi="仿宋" w:eastAsia="仿宋" w:cs="Times New Roman"/>
          <w:b/>
          <w:kern w:val="0"/>
          <w:sz w:val="32"/>
          <w:szCs w:val="32"/>
          <w:lang w:val="zh-TW"/>
        </w:rPr>
      </w:pPr>
      <w:bookmarkStart w:id="60" w:name="_Toc59018953"/>
      <w:bookmarkStart w:id="61" w:name="_Toc26332"/>
      <w:r>
        <w:rPr>
          <w:rFonts w:hint="eastAsia" w:ascii="仿宋" w:hAnsi="仿宋" w:eastAsia="仿宋" w:cs="Times New Roman"/>
          <w:b/>
          <w:kern w:val="0"/>
          <w:sz w:val="32"/>
          <w:szCs w:val="32"/>
          <w:lang w:val="zh-TW"/>
        </w:rPr>
        <w:t>（</w:t>
      </w:r>
      <w:r>
        <w:rPr>
          <w:rFonts w:hint="eastAsia" w:ascii="仿宋" w:hAnsi="仿宋" w:eastAsia="仿宋" w:cs="Times New Roman"/>
          <w:b/>
          <w:kern w:val="0"/>
          <w:sz w:val="32"/>
          <w:szCs w:val="32"/>
        </w:rPr>
        <w:t>一</w:t>
      </w:r>
      <w:r>
        <w:rPr>
          <w:rFonts w:hint="eastAsia" w:ascii="仿宋" w:hAnsi="仿宋" w:eastAsia="仿宋" w:cs="Times New Roman"/>
          <w:b/>
          <w:kern w:val="0"/>
          <w:sz w:val="32"/>
          <w:szCs w:val="32"/>
          <w:lang w:val="zh-TW"/>
        </w:rPr>
        <w:t>）激发旅游消费潜力</w:t>
      </w:r>
      <w:bookmarkEnd w:id="60"/>
      <w:bookmarkEnd w:id="61"/>
    </w:p>
    <w:p>
      <w:pPr>
        <w:spacing w:line="560" w:lineRule="exact"/>
        <w:ind w:firstLine="640" w:firstLineChars="200"/>
        <w:rPr>
          <w:rFonts w:ascii="仿宋" w:hAnsi="仿宋" w:eastAsia="仿宋" w:cs="Times New Roman"/>
          <w:b/>
          <w:kern w:val="0"/>
          <w:sz w:val="32"/>
          <w:szCs w:val="32"/>
        </w:rPr>
      </w:pPr>
      <w:bookmarkStart w:id="62" w:name="_Toc59018954"/>
      <w:r>
        <w:rPr>
          <w:rFonts w:ascii="仿宋" w:hAnsi="仿宋" w:eastAsia="仿宋" w:cs="Times New Roman"/>
          <w:bCs/>
          <w:kern w:val="0"/>
          <w:sz w:val="32"/>
          <w:szCs w:val="32"/>
        </w:rPr>
        <w:t>提升传统消费，培育新型消费，促进</w:t>
      </w:r>
      <w:r>
        <w:rPr>
          <w:rFonts w:hint="eastAsia" w:ascii="仿宋" w:hAnsi="仿宋" w:eastAsia="仿宋" w:cs="Times New Roman"/>
          <w:bCs/>
          <w:kern w:val="0"/>
          <w:sz w:val="32"/>
          <w:szCs w:val="32"/>
        </w:rPr>
        <w:t>旅游</w:t>
      </w:r>
      <w:r>
        <w:rPr>
          <w:rFonts w:ascii="仿宋" w:hAnsi="仿宋" w:eastAsia="仿宋" w:cs="Times New Roman"/>
          <w:bCs/>
          <w:kern w:val="0"/>
          <w:sz w:val="32"/>
          <w:szCs w:val="32"/>
        </w:rPr>
        <w:t>消费结构改善、层次提升、环境优化，努力实现</w:t>
      </w:r>
      <w:r>
        <w:rPr>
          <w:rFonts w:hint="eastAsia" w:ascii="仿宋" w:hAnsi="仿宋" w:eastAsia="仿宋" w:cs="Times New Roman"/>
          <w:bCs/>
          <w:kern w:val="0"/>
          <w:sz w:val="32"/>
          <w:szCs w:val="32"/>
        </w:rPr>
        <w:t>旅游</w:t>
      </w:r>
      <w:r>
        <w:rPr>
          <w:rFonts w:ascii="仿宋" w:hAnsi="仿宋" w:eastAsia="仿宋" w:cs="Times New Roman"/>
          <w:bCs/>
          <w:kern w:val="0"/>
          <w:sz w:val="32"/>
          <w:szCs w:val="32"/>
        </w:rPr>
        <w:t>消费更具多样、更有活力、更加便捷。扩大节假日消费，支持</w:t>
      </w:r>
      <w:r>
        <w:rPr>
          <w:rFonts w:hint="eastAsia" w:ascii="仿宋" w:hAnsi="仿宋" w:eastAsia="仿宋" w:cs="Times New Roman"/>
          <w:bCs/>
          <w:kern w:val="0"/>
          <w:sz w:val="32"/>
          <w:szCs w:val="32"/>
        </w:rPr>
        <w:t>海陵、高港、兴化、姜堰等</w:t>
      </w:r>
      <w:r>
        <w:rPr>
          <w:rFonts w:ascii="仿宋" w:hAnsi="仿宋" w:eastAsia="仿宋" w:cs="Times New Roman"/>
          <w:bCs/>
          <w:kern w:val="0"/>
          <w:sz w:val="32"/>
          <w:szCs w:val="32"/>
        </w:rPr>
        <w:t>区域性文化和旅游消费中心城市、消费示范试点城市建设</w:t>
      </w:r>
      <w:r>
        <w:rPr>
          <w:rFonts w:hint="eastAsia" w:ascii="仿宋" w:hAnsi="仿宋" w:eastAsia="仿宋" w:cs="Times New Roman"/>
          <w:bCs/>
          <w:kern w:val="0"/>
          <w:sz w:val="32"/>
          <w:szCs w:val="32"/>
        </w:rPr>
        <w:t>，培育10个左右布局合理、功能完善、特色鲜明、带动力强的文化和旅游消费集聚区。每年举办文化和旅游消费季等活动，开展商旅联动促消费系列活动，扩大梅兰芳艺术节、水城水乡国际旅游节、溱潼会船节、千垛菜花节的消费活动。利用5G等新一代信息技术广泛应用的契机，培育网络消费、体验消费、智能消费等消费新模式。</w:t>
      </w:r>
      <w:bookmarkEnd w:id="62"/>
      <w:bookmarkStart w:id="63" w:name="_Toc4909"/>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rPr>
        <w:t>（二）</w:t>
      </w:r>
      <w:r>
        <w:rPr>
          <w:rFonts w:hint="eastAsia" w:ascii="仿宋" w:hAnsi="仿宋" w:eastAsia="仿宋" w:cs="Times New Roman"/>
          <w:b/>
          <w:kern w:val="0"/>
          <w:sz w:val="32"/>
          <w:szCs w:val="32"/>
          <w:lang w:val="zh-TW"/>
        </w:rPr>
        <w:t>大力发展夜间旅游经济</w:t>
      </w:r>
      <w:bookmarkEnd w:id="63"/>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实</w:t>
      </w:r>
      <w:r>
        <w:rPr>
          <w:rFonts w:ascii="仿宋" w:hAnsi="仿宋" w:eastAsia="仿宋" w:cs="Times New Roman"/>
          <w:bCs/>
          <w:kern w:val="0"/>
          <w:sz w:val="32"/>
          <w:szCs w:val="32"/>
        </w:rPr>
        <w:t>施一体化夜间场景设计与打造，</w:t>
      </w:r>
      <w:r>
        <w:rPr>
          <w:rFonts w:hint="eastAsia" w:ascii="仿宋" w:hAnsi="仿宋" w:eastAsia="仿宋" w:cs="Times New Roman"/>
          <w:bCs/>
          <w:kern w:val="0"/>
          <w:sz w:val="32"/>
          <w:szCs w:val="32"/>
        </w:rPr>
        <w:t>建成一批</w:t>
      </w:r>
      <w:r>
        <w:rPr>
          <w:rFonts w:ascii="仿宋" w:hAnsi="仿宋" w:eastAsia="仿宋" w:cs="Times New Roman"/>
          <w:bCs/>
          <w:kern w:val="0"/>
          <w:sz w:val="32"/>
          <w:szCs w:val="32"/>
        </w:rPr>
        <w:t>文旅商深度融合、业态产品丰富多样、基础设施配套完善、消费环境和管理运营机制优、品牌和市场影响力大、文旅消费辐射带动力强的</w:t>
      </w:r>
      <w:r>
        <w:rPr>
          <w:rFonts w:hint="eastAsia" w:ascii="仿宋" w:hAnsi="仿宋" w:eastAsia="仿宋" w:cs="Times New Roman"/>
          <w:bCs/>
          <w:kern w:val="0"/>
          <w:sz w:val="32"/>
          <w:szCs w:val="32"/>
        </w:rPr>
        <w:t>夜间文化和旅游消费集聚区</w:t>
      </w:r>
      <w:r>
        <w:rPr>
          <w:rFonts w:ascii="仿宋" w:hAnsi="仿宋" w:eastAsia="仿宋" w:cs="Times New Roman"/>
          <w:bCs/>
          <w:kern w:val="0"/>
          <w:sz w:val="32"/>
          <w:szCs w:val="32"/>
        </w:rPr>
        <w:t>，</w:t>
      </w:r>
      <w:r>
        <w:rPr>
          <w:rFonts w:hint="eastAsia" w:ascii="仿宋" w:hAnsi="仿宋" w:eastAsia="仿宋" w:cs="Times New Roman"/>
          <w:bCs/>
          <w:kern w:val="0"/>
          <w:sz w:val="32"/>
          <w:szCs w:val="32"/>
        </w:rPr>
        <w:t>推动凤城河风景区、靖江滨江新城休闲水街建成省级夜间文化和旅游消费集聚区。</w:t>
      </w:r>
    </w:p>
    <w:p>
      <w:pPr>
        <w:pStyle w:val="26"/>
        <w:tabs>
          <w:tab w:val="right" w:leader="dot" w:pos="8300"/>
        </w:tabs>
        <w:spacing w:line="560" w:lineRule="exact"/>
        <w:ind w:firstLine="640" w:firstLineChars="200"/>
        <w:jc w:val="both"/>
        <w:rPr>
          <w:rFonts w:ascii="仿宋" w:hAnsi="仿宋" w:eastAsia="仿宋"/>
          <w:bCs/>
          <w:sz w:val="32"/>
          <w:szCs w:val="32"/>
        </w:rPr>
      </w:pPr>
      <w:r>
        <w:rPr>
          <w:rFonts w:hint="eastAsia" w:ascii="仿宋" w:hAnsi="仿宋" w:eastAsia="仿宋"/>
          <w:bCs/>
          <w:sz w:val="32"/>
          <w:szCs w:val="32"/>
        </w:rPr>
        <w:t>积极培育夜游</w:t>
      </w:r>
      <w:r>
        <w:rPr>
          <w:rFonts w:ascii="仿宋" w:hAnsi="仿宋" w:eastAsia="仿宋"/>
          <w:bCs/>
          <w:sz w:val="32"/>
          <w:szCs w:val="32"/>
        </w:rPr>
        <w:t>、</w:t>
      </w:r>
      <w:r>
        <w:rPr>
          <w:rFonts w:hint="eastAsia" w:ascii="仿宋" w:hAnsi="仿宋" w:eastAsia="仿宋"/>
          <w:bCs/>
          <w:sz w:val="32"/>
          <w:szCs w:val="32"/>
        </w:rPr>
        <w:t>夜娱</w:t>
      </w:r>
      <w:r>
        <w:rPr>
          <w:rFonts w:ascii="仿宋" w:hAnsi="仿宋" w:eastAsia="仿宋"/>
          <w:bCs/>
          <w:sz w:val="32"/>
          <w:szCs w:val="32"/>
        </w:rPr>
        <w:t>、</w:t>
      </w:r>
      <w:r>
        <w:rPr>
          <w:rFonts w:hint="eastAsia" w:ascii="仿宋" w:hAnsi="仿宋" w:eastAsia="仿宋"/>
          <w:bCs/>
          <w:sz w:val="32"/>
          <w:szCs w:val="32"/>
        </w:rPr>
        <w:t>夜宴</w:t>
      </w:r>
      <w:r>
        <w:rPr>
          <w:rFonts w:ascii="仿宋" w:hAnsi="仿宋" w:eastAsia="仿宋"/>
          <w:bCs/>
          <w:sz w:val="32"/>
          <w:szCs w:val="32"/>
        </w:rPr>
        <w:t>、</w:t>
      </w:r>
      <w:r>
        <w:rPr>
          <w:rFonts w:hint="eastAsia" w:ascii="仿宋" w:hAnsi="仿宋" w:eastAsia="仿宋"/>
          <w:bCs/>
          <w:sz w:val="32"/>
          <w:szCs w:val="32"/>
        </w:rPr>
        <w:t>夜宿</w:t>
      </w:r>
      <w:r>
        <w:rPr>
          <w:rFonts w:ascii="仿宋" w:hAnsi="仿宋" w:eastAsia="仿宋"/>
          <w:bCs/>
          <w:sz w:val="32"/>
          <w:szCs w:val="32"/>
        </w:rPr>
        <w:t>、</w:t>
      </w:r>
      <w:r>
        <w:rPr>
          <w:rFonts w:hint="eastAsia" w:ascii="仿宋" w:hAnsi="仿宋" w:eastAsia="仿宋"/>
          <w:bCs/>
          <w:sz w:val="32"/>
          <w:szCs w:val="32"/>
        </w:rPr>
        <w:t>夜购、夜练等“夜生活”体系，</w:t>
      </w:r>
      <w:r>
        <w:rPr>
          <w:rFonts w:ascii="仿宋" w:hAnsi="仿宋" w:eastAsia="仿宋"/>
          <w:bCs/>
          <w:sz w:val="32"/>
          <w:szCs w:val="32"/>
        </w:rPr>
        <w:t>提高夜间旅游消费供给能力和质量，培育夜间旅游消费新热点</w:t>
      </w:r>
      <w:r>
        <w:rPr>
          <w:rFonts w:hint="eastAsia" w:ascii="仿宋" w:hAnsi="仿宋" w:eastAsia="仿宋"/>
          <w:bCs/>
          <w:sz w:val="32"/>
          <w:szCs w:val="32"/>
        </w:rPr>
        <w:t>。推动城区和引江河、凤城河、老通扬运河</w:t>
      </w:r>
      <w:r>
        <w:rPr>
          <w:rFonts w:ascii="仿宋" w:hAnsi="仿宋" w:eastAsia="仿宋"/>
          <w:bCs/>
          <w:sz w:val="32"/>
          <w:szCs w:val="32"/>
        </w:rPr>
        <w:t>夜间场景设计与打造</w:t>
      </w:r>
      <w:r>
        <w:rPr>
          <w:rFonts w:hint="eastAsia" w:ascii="仿宋" w:hAnsi="仿宋" w:eastAsia="仿宋"/>
          <w:sz w:val="32"/>
          <w:szCs w:val="32"/>
        </w:rPr>
        <w:t>，推出泰州</w:t>
      </w:r>
      <w:r>
        <w:rPr>
          <w:rFonts w:ascii="仿宋" w:hAnsi="仿宋" w:eastAsia="仿宋"/>
          <w:sz w:val="32"/>
          <w:szCs w:val="32"/>
        </w:rPr>
        <w:t>3D灯光秀</w:t>
      </w:r>
      <w:r>
        <w:rPr>
          <w:rFonts w:hint="eastAsia" w:ascii="仿宋" w:hAnsi="仿宋" w:eastAsia="仿宋"/>
          <w:sz w:val="32"/>
          <w:szCs w:val="32"/>
        </w:rPr>
        <w:t>，</w:t>
      </w:r>
      <w:r>
        <w:rPr>
          <w:rFonts w:hint="eastAsia" w:ascii="仿宋" w:hAnsi="仿宋" w:eastAsia="仿宋"/>
          <w:bCs/>
          <w:sz w:val="32"/>
          <w:szCs w:val="32"/>
        </w:rPr>
        <w:t>鼓励溱湖湿地公园、凤城河、乌巾荡等有条件的景区、公园在夜间开放，形成水乡特色的“夜游”产品；打造2-3台实景演出、室内演出等夜游演艺项目，开发凤城河夜游、长江夜游等水上夜游项目，充实茶吧、酒吧、网吧、书吧等夜间活动，构建“夜娱”产品；以泰州美食为基础，打造“泰州船宴”“兴化水宴”等夜间特色餐饮品牌，丰富“夜宴”产品；打造乡村民宿、古镇民宿、精品酒店、帐篷酒店、主题酒店等为内核的泰州特色住宿系统，丰富游客夜间住宿体验，壮大“夜宿”产品；延长大型商场营业时间，扩大24小时便利店数量，依托</w:t>
      </w:r>
      <w:r>
        <w:rPr>
          <w:rFonts w:ascii="仿宋" w:hAnsi="仿宋" w:eastAsia="仿宋"/>
          <w:bCs/>
          <w:sz w:val="32"/>
          <w:szCs w:val="32"/>
        </w:rPr>
        <w:t>城区步行街、乡村夜市、水上夜市、24小时文化书店</w:t>
      </w:r>
      <w:r>
        <w:rPr>
          <w:rFonts w:hint="eastAsia" w:ascii="仿宋" w:hAnsi="仿宋" w:eastAsia="仿宋"/>
          <w:bCs/>
          <w:sz w:val="32"/>
          <w:szCs w:val="32"/>
        </w:rPr>
        <w:t>等空间消费载体，培育“夜购”产品；完善运动休闲设施，依托城市郊野公园、景观河流沿线、景观绿道开发夜跑路线，开展夜钓活动，创新“夜练”产品。</w:t>
      </w:r>
    </w:p>
    <w:bookmarkEnd w:id="59"/>
    <w:p>
      <w:pPr>
        <w:pStyle w:val="8"/>
        <w:spacing w:before="140" w:after="14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fldChar w:fldCharType="begin" w:fldLock="1"/>
      </w:r>
      <w:r>
        <w:rPr>
          <w:rFonts w:hint="eastAsia" w:ascii="Times New Roman" w:hAnsi="Times New Roman" w:eastAsia="宋体" w:cs="Times New Roman"/>
          <w:color w:val="000000" w:themeColor="text1"/>
          <w14:textFill>
            <w14:solidFill>
              <w14:schemeClr w14:val="tx1"/>
            </w14:solidFill>
          </w14:textFill>
        </w:rPr>
        <w:instrText xml:space="preserve"> HYPERLINK \l "_Toc8023" </w:instrText>
      </w:r>
      <w:r>
        <w:rPr>
          <w:rFonts w:hint="eastAsia" w:ascii="Times New Roman" w:hAnsi="Times New Roman" w:eastAsia="宋体" w:cs="Times New Roman"/>
          <w:color w:val="000000" w:themeColor="text1"/>
          <w14:textFill>
            <w14:solidFill>
              <w14:schemeClr w14:val="tx1"/>
            </w14:solidFill>
          </w14:textFill>
        </w:rPr>
        <w:fldChar w:fldCharType="separate"/>
      </w:r>
      <w:bookmarkStart w:id="64" w:name="_Toc85036118"/>
      <w:r>
        <w:rPr>
          <w:rFonts w:hint="eastAsia" w:ascii="Times New Roman" w:hAnsi="Times New Roman" w:eastAsia="宋体" w:cs="Times New Roman"/>
          <w:color w:val="000000" w:themeColor="text1"/>
          <w14:textFill>
            <w14:solidFill>
              <w14:schemeClr w14:val="tx1"/>
            </w14:solidFill>
          </w14:textFill>
        </w:rPr>
        <w:t>五、提升影响力，打响“幸福水天堂”品牌</w:t>
      </w:r>
      <w:bookmarkEnd w:id="64"/>
      <w:r>
        <w:rPr>
          <w:rFonts w:hint="eastAsia" w:ascii="Times New Roman" w:hAnsi="Times New Roman" w:eastAsia="宋体" w:cs="Times New Roman"/>
          <w:color w:val="000000" w:themeColor="text1"/>
          <w14:textFill>
            <w14:solidFill>
              <w14:schemeClr w14:val="tx1"/>
            </w14:solidFill>
          </w14:textFill>
        </w:rPr>
        <w:fldChar w:fldCharType="end"/>
      </w:r>
      <w:bookmarkEnd w:id="33"/>
    </w:p>
    <w:p>
      <w:pPr>
        <w:pStyle w:val="26"/>
        <w:tabs>
          <w:tab w:val="right" w:leader="dot" w:pos="8300"/>
        </w:tabs>
        <w:spacing w:line="560" w:lineRule="exact"/>
        <w:ind w:firstLine="640" w:firstLineChars="200"/>
        <w:jc w:val="both"/>
        <w:rPr>
          <w:rFonts w:ascii="仿宋" w:hAnsi="仿宋" w:eastAsia="仿宋"/>
          <w:bCs/>
          <w:sz w:val="32"/>
          <w:szCs w:val="32"/>
        </w:rPr>
      </w:pPr>
      <w:r>
        <w:rPr>
          <w:rFonts w:hint="eastAsia" w:ascii="仿宋" w:hAnsi="仿宋" w:eastAsia="仿宋"/>
          <w:bCs/>
          <w:sz w:val="32"/>
          <w:szCs w:val="32"/>
        </w:rPr>
        <w:t>丰富“幸福水天堂”品牌体系，加大梅兰芳艺术、泰州学派、里下河文学、郑板桥书画四大特色文化品牌建设力度，多渠道、多方位、多角度宣传推介“江海文化、水城风情、市井人家、幸福生活”。</w:t>
      </w:r>
    </w:p>
    <w:p>
      <w:pPr>
        <w:spacing w:line="560" w:lineRule="exact"/>
        <w:ind w:firstLine="643" w:firstLineChars="200"/>
        <w:rPr>
          <w:rFonts w:ascii="仿宋" w:hAnsi="仿宋" w:eastAsia="仿宋" w:cs="Times New Roman"/>
          <w:b/>
          <w:kern w:val="0"/>
          <w:sz w:val="32"/>
          <w:szCs w:val="32"/>
        </w:rPr>
      </w:pPr>
      <w:bookmarkStart w:id="65" w:name="_Toc1988"/>
      <w:r>
        <w:rPr>
          <w:rFonts w:hint="eastAsia" w:ascii="仿宋" w:hAnsi="仿宋" w:eastAsia="仿宋" w:cs="Times New Roman"/>
          <w:b/>
          <w:kern w:val="0"/>
          <w:sz w:val="32"/>
          <w:szCs w:val="32"/>
        </w:rPr>
        <w:t>（一）</w:t>
      </w:r>
      <w:r>
        <w:rPr>
          <w:rFonts w:hint="eastAsia" w:ascii="仿宋" w:hAnsi="仿宋" w:eastAsia="仿宋" w:cs="Times New Roman"/>
          <w:b/>
          <w:kern w:val="0"/>
          <w:sz w:val="32"/>
          <w:szCs w:val="32"/>
          <w:lang w:val="zh-TW"/>
        </w:rPr>
        <w:t>完善旅游品牌体系</w:t>
      </w:r>
      <w:bookmarkEnd w:id="65"/>
    </w:p>
    <w:p>
      <w:pPr>
        <w:pStyle w:val="26"/>
        <w:tabs>
          <w:tab w:val="right" w:leader="dot" w:pos="8300"/>
        </w:tabs>
        <w:spacing w:line="560" w:lineRule="exact"/>
        <w:ind w:firstLine="640" w:firstLineChars="200"/>
        <w:jc w:val="both"/>
        <w:rPr>
          <w:rFonts w:ascii="仿宋" w:hAnsi="仿宋" w:eastAsia="仿宋"/>
          <w:bCs/>
          <w:sz w:val="32"/>
          <w:szCs w:val="32"/>
        </w:rPr>
      </w:pPr>
      <w:r>
        <w:rPr>
          <w:rFonts w:hint="eastAsia" w:ascii="仿宋" w:hAnsi="仿宋" w:eastAsia="仿宋"/>
          <w:bCs/>
          <w:sz w:val="32"/>
          <w:szCs w:val="32"/>
        </w:rPr>
        <w:t>凝聚全市力量，以泰州市国家全域旅游示范城市创建为龙头，在国家级旅游度假区、国家5A景区、国家级夜间文化旅游消费集聚区、国家级旅游休闲城市和街区、国家乡村旅游重点村等方面努力实现重点突破，提升泰州旅游业发展的品牌影响力。</w:t>
      </w:r>
    </w:p>
    <w:p>
      <w:pPr>
        <w:pStyle w:val="26"/>
        <w:tabs>
          <w:tab w:val="right" w:leader="dot" w:pos="8300"/>
        </w:tabs>
        <w:spacing w:line="560" w:lineRule="exact"/>
        <w:ind w:firstLine="640" w:firstLineChars="200"/>
        <w:jc w:val="both"/>
        <w:rPr>
          <w:rFonts w:ascii="仿宋" w:hAnsi="仿宋" w:eastAsia="仿宋"/>
          <w:bCs/>
          <w:sz w:val="32"/>
          <w:szCs w:val="32"/>
        </w:rPr>
      </w:pPr>
    </w:p>
    <w:p>
      <w:pPr>
        <w:pStyle w:val="26"/>
        <w:tabs>
          <w:tab w:val="right" w:leader="dot" w:pos="8300"/>
        </w:tabs>
        <w:spacing w:line="560" w:lineRule="exact"/>
        <w:ind w:firstLine="640" w:firstLineChars="200"/>
        <w:jc w:val="both"/>
        <w:rPr>
          <w:rFonts w:ascii="仿宋" w:hAnsi="仿宋" w:eastAsia="仿宋"/>
          <w:bCs/>
          <w:sz w:val="32"/>
          <w:szCs w:val="32"/>
        </w:rPr>
      </w:pPr>
    </w:p>
    <w:p>
      <w:pPr>
        <w:pStyle w:val="26"/>
        <w:tabs>
          <w:tab w:val="right" w:leader="dot" w:pos="8300"/>
        </w:tabs>
        <w:spacing w:line="560" w:lineRule="exact"/>
        <w:ind w:firstLine="640" w:firstLineChars="200"/>
        <w:jc w:val="both"/>
        <w:rPr>
          <w:rFonts w:hint="eastAsia" w:ascii="仿宋" w:hAnsi="仿宋" w:eastAsia="仿宋"/>
          <w:bCs/>
          <w:sz w:val="32"/>
          <w:szCs w:val="32"/>
        </w:rPr>
      </w:pPr>
    </w:p>
    <w:p>
      <w:pPr>
        <w:ind w:firstLine="2400" w:firstLineChars="800"/>
        <w:rPr>
          <w:rFonts w:ascii="仿宋" w:hAnsi="仿宋" w:eastAsia="仿宋" w:cs="Times New Roman"/>
          <w:bCs/>
          <w:kern w:val="0"/>
          <w:sz w:val="30"/>
          <w:szCs w:val="30"/>
        </w:rPr>
      </w:pPr>
      <w:r>
        <w:rPr>
          <w:rFonts w:hint="eastAsia" w:ascii="仿宋" w:hAnsi="仿宋" w:eastAsia="仿宋" w:cs="Times New Roman"/>
          <w:bCs/>
          <w:kern w:val="0"/>
          <w:sz w:val="30"/>
          <w:szCs w:val="30"/>
        </w:rPr>
        <w:t xml:space="preserve">表3 </w:t>
      </w:r>
      <w:r>
        <w:rPr>
          <w:rFonts w:ascii="仿宋" w:hAnsi="仿宋" w:eastAsia="仿宋" w:cs="Times New Roman"/>
          <w:bCs/>
          <w:kern w:val="0"/>
          <w:sz w:val="30"/>
          <w:szCs w:val="30"/>
        </w:rPr>
        <w:t xml:space="preserve"> </w:t>
      </w:r>
      <w:r>
        <w:rPr>
          <w:rFonts w:hint="eastAsia" w:ascii="仿宋" w:hAnsi="仿宋" w:eastAsia="仿宋" w:cs="Times New Roman"/>
          <w:bCs/>
          <w:kern w:val="0"/>
          <w:sz w:val="30"/>
          <w:szCs w:val="30"/>
        </w:rPr>
        <w:t>泰州旅游产品品牌体系</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7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96" w:type="pct"/>
            <w:noWrap/>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品牌</w:t>
            </w:r>
          </w:p>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系列</w:t>
            </w:r>
          </w:p>
        </w:tc>
        <w:tc>
          <w:tcPr>
            <w:tcW w:w="4404" w:type="pct"/>
            <w:noWrap/>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措  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96" w:type="pct"/>
            <w:noWrap/>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景区</w:t>
            </w:r>
          </w:p>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品牌</w:t>
            </w:r>
          </w:p>
        </w:tc>
        <w:tc>
          <w:tcPr>
            <w:tcW w:w="4404" w:type="pct"/>
            <w:noWrap/>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发挥历史文化、里下河湿地等资源优势，每年新建一批景区，打造一批特色旅游产品品牌，积极创建国家AAAAA旅游品牌。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96" w:type="pct"/>
            <w:noWrap/>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旅游路线品牌</w:t>
            </w:r>
          </w:p>
        </w:tc>
        <w:tc>
          <w:tcPr>
            <w:tcW w:w="4404" w:type="pct"/>
            <w:noWrap/>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围绕春季“天下会船•最美花海”、夏季“无水不欢•慢游则凉”、秋季“品鲜泰州•无蟹可及”、冬季“健康养生•轻奢度假”春夏秋冬四季主题开发系列线路。开发游轮、专列、包机等产品。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96" w:type="pct"/>
            <w:noWrap/>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休闲度假品牌</w:t>
            </w:r>
          </w:p>
        </w:tc>
        <w:tc>
          <w:tcPr>
            <w:tcW w:w="4404" w:type="pct"/>
            <w:noWrap/>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依托旅游度假区和生态旅游示范区，培育一批休闲度假产品品牌，打造一批独具特色的综合型休闲度假项目，积极创建国家级旅游度假区品牌。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96" w:type="pct"/>
            <w:noWrap/>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旅游美食品牌</w:t>
            </w:r>
          </w:p>
        </w:tc>
        <w:tc>
          <w:tcPr>
            <w:tcW w:w="4404" w:type="pct"/>
            <w:noWrap/>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丰富“泰州早茶”“溱湖八鲜”“靖江美食”等系列美食体验产品。优选一批游客认可度高的餐饮名店和品牌餐饮街区，打造旅游美食品牌。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96" w:type="pct"/>
            <w:noWrap/>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b/>
                <w:bCs/>
                <w:sz w:val="22"/>
                <w:szCs w:val="22"/>
              </w:rPr>
              <w:t>旅游商品品牌</w:t>
            </w:r>
          </w:p>
        </w:tc>
        <w:tc>
          <w:tcPr>
            <w:tcW w:w="4404" w:type="pct"/>
            <w:noWrap/>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鼓励溱潼、千垛等重点景区提升旅游商品研发水平，加大老字号旅游商品开发力度，与工艺美术大师、非遗传承人、老字号企业进行合作。打造“泰州游礼”旅游商品连锁直营店品牌。</w:t>
            </w:r>
          </w:p>
        </w:tc>
      </w:tr>
    </w:tbl>
    <w:p>
      <w:pPr>
        <w:pStyle w:val="9"/>
        <w:numPr>
          <w:ilvl w:val="0"/>
          <w:numId w:val="0"/>
        </w:numPr>
      </w:pPr>
      <w:bookmarkStart w:id="66" w:name="_Toc23505"/>
      <w:bookmarkStart w:id="67" w:name="_Toc29489"/>
      <w:bookmarkStart w:id="68" w:name="_Toc15228"/>
      <w:bookmarkStart w:id="69" w:name="_Toc20279"/>
      <w:bookmarkStart w:id="70" w:name="_Toc14325"/>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rPr>
        <w:t>（二）</w:t>
      </w:r>
      <w:r>
        <w:rPr>
          <w:rFonts w:hint="eastAsia" w:ascii="仿宋" w:hAnsi="仿宋" w:eastAsia="仿宋" w:cs="Times New Roman"/>
          <w:b/>
          <w:kern w:val="0"/>
          <w:sz w:val="32"/>
          <w:szCs w:val="32"/>
          <w:lang w:val="zh-TW"/>
        </w:rPr>
        <w:t>健全营销推广体系</w:t>
      </w:r>
      <w:bookmarkEnd w:id="66"/>
      <w:bookmarkStart w:id="71" w:name="_Toc26645"/>
      <w:bookmarkStart w:id="72" w:name="_Toc13230"/>
      <w:bookmarkStart w:id="73" w:name="_Toc29778"/>
      <w:bookmarkStart w:id="74" w:name="_Toc14630"/>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加大市场营销</w:t>
      </w:r>
      <w:bookmarkEnd w:id="71"/>
      <w:bookmarkEnd w:id="72"/>
      <w:bookmarkEnd w:id="73"/>
      <w:bookmarkEnd w:id="74"/>
      <w:r>
        <w:rPr>
          <w:rFonts w:ascii="仿宋" w:hAnsi="仿宋" w:eastAsia="仿宋" w:cs="Times New Roman"/>
          <w:bCs/>
          <w:kern w:val="0"/>
          <w:sz w:val="32"/>
          <w:szCs w:val="32"/>
        </w:rPr>
        <w:t>，</w:t>
      </w:r>
      <w:r>
        <w:rPr>
          <w:rFonts w:hint="eastAsia" w:ascii="仿宋" w:hAnsi="仿宋" w:eastAsia="仿宋" w:cs="Times New Roman"/>
          <w:bCs/>
          <w:kern w:val="0"/>
          <w:sz w:val="32"/>
          <w:szCs w:val="32"/>
        </w:rPr>
        <w:t>扩大“幸福水天堂”品牌影响力</w:t>
      </w:r>
      <w:r>
        <w:rPr>
          <w:rFonts w:ascii="仿宋" w:hAnsi="仿宋" w:eastAsia="仿宋" w:cs="Times New Roman"/>
          <w:bCs/>
          <w:kern w:val="0"/>
          <w:sz w:val="32"/>
          <w:szCs w:val="32"/>
        </w:rPr>
        <w:t>。</w:t>
      </w:r>
      <w:bookmarkEnd w:id="67"/>
      <w:bookmarkEnd w:id="68"/>
      <w:bookmarkEnd w:id="69"/>
      <w:bookmarkEnd w:id="70"/>
      <w:r>
        <w:rPr>
          <w:rFonts w:ascii="仿宋" w:hAnsi="仿宋" w:eastAsia="仿宋" w:cs="Times New Roman"/>
          <w:bCs/>
          <w:kern w:val="0"/>
          <w:sz w:val="32"/>
          <w:szCs w:val="32"/>
        </w:rPr>
        <w:t>深耕</w:t>
      </w:r>
      <w:r>
        <w:rPr>
          <w:rFonts w:hint="eastAsia" w:ascii="仿宋" w:hAnsi="仿宋" w:eastAsia="仿宋" w:cs="Times New Roman"/>
          <w:bCs/>
          <w:kern w:val="0"/>
          <w:sz w:val="32"/>
          <w:szCs w:val="32"/>
        </w:rPr>
        <w:t>上海都市圈、</w:t>
      </w:r>
      <w:r>
        <w:rPr>
          <w:rFonts w:ascii="仿宋" w:hAnsi="仿宋" w:eastAsia="仿宋" w:cs="Times New Roman"/>
          <w:bCs/>
          <w:kern w:val="0"/>
          <w:sz w:val="32"/>
          <w:szCs w:val="32"/>
        </w:rPr>
        <w:t>南京都市圈及泛长三角地区客源市场</w:t>
      </w:r>
      <w:r>
        <w:rPr>
          <w:rFonts w:hint="eastAsia" w:ascii="仿宋" w:hAnsi="仿宋" w:eastAsia="仿宋" w:cs="Times New Roman"/>
          <w:bCs/>
          <w:kern w:val="0"/>
          <w:sz w:val="32"/>
          <w:szCs w:val="32"/>
        </w:rPr>
        <w:t>群等，努力扩大4小时高铁交通圈城市的市场影响力。设计系列城市读本、旅游手册、形象宣传片等，联合各市区、各重点景区，在权威</w:t>
      </w:r>
      <w:r>
        <w:rPr>
          <w:rFonts w:hint="eastAsia" w:ascii="仿宋" w:hAnsi="仿宋" w:eastAsia="仿宋"/>
          <w:bCs/>
          <w:sz w:val="32"/>
          <w:szCs w:val="32"/>
        </w:rPr>
        <w:t>媒体</w:t>
      </w:r>
      <w:r>
        <w:rPr>
          <w:rFonts w:hint="eastAsia" w:ascii="仿宋" w:hAnsi="仿宋" w:eastAsia="仿宋" w:cs="Times New Roman"/>
          <w:bCs/>
          <w:kern w:val="0"/>
          <w:sz w:val="32"/>
          <w:szCs w:val="32"/>
        </w:rPr>
        <w:t>、行业媒体、自媒体以及携程、同程、途牛等OTA在线平台进行品牌形象宣传和产品营销推广。借助云旅游和直播带货的形式进行营销</w:t>
      </w:r>
      <w:r>
        <w:rPr>
          <w:rFonts w:ascii="仿宋" w:hAnsi="仿宋" w:eastAsia="仿宋" w:cs="Times New Roman"/>
          <w:bCs/>
          <w:kern w:val="0"/>
          <w:sz w:val="32"/>
          <w:szCs w:val="32"/>
        </w:rPr>
        <w:t>，进一步将商贸活动、科技产业、文化节庆、体育赛事、乡风民俗、优良生态等拓展为目的地宣传推介的重要内容</w:t>
      </w:r>
      <w:r>
        <w:rPr>
          <w:rFonts w:hint="eastAsia" w:ascii="仿宋" w:hAnsi="仿宋" w:eastAsia="仿宋" w:cs="Times New Roman"/>
          <w:bCs/>
          <w:kern w:val="0"/>
          <w:sz w:val="32"/>
          <w:szCs w:val="32"/>
        </w:rPr>
        <w:t>。充分运用大数据</w:t>
      </w:r>
      <w:r>
        <w:rPr>
          <w:rFonts w:ascii="仿宋" w:hAnsi="仿宋" w:eastAsia="仿宋" w:cs="Times New Roman"/>
          <w:bCs/>
          <w:kern w:val="0"/>
          <w:sz w:val="32"/>
          <w:szCs w:val="32"/>
        </w:rPr>
        <w:t>实现对旅游目的地客情</w:t>
      </w:r>
      <w:r>
        <w:rPr>
          <w:rFonts w:hint="eastAsia" w:ascii="仿宋" w:hAnsi="仿宋" w:eastAsia="仿宋" w:cs="Times New Roman"/>
          <w:bCs/>
          <w:kern w:val="0"/>
          <w:sz w:val="32"/>
          <w:szCs w:val="32"/>
        </w:rPr>
        <w:t>的</w:t>
      </w:r>
      <w:r>
        <w:rPr>
          <w:rFonts w:ascii="仿宋" w:hAnsi="仿宋" w:eastAsia="仿宋" w:cs="Times New Roman"/>
          <w:bCs/>
          <w:kern w:val="0"/>
          <w:sz w:val="32"/>
          <w:szCs w:val="32"/>
        </w:rPr>
        <w:t>精准分析，</w:t>
      </w:r>
      <w:r>
        <w:rPr>
          <w:rFonts w:hint="eastAsia" w:ascii="仿宋" w:hAnsi="仿宋" w:eastAsia="仿宋" w:cs="Times New Roman"/>
          <w:bCs/>
          <w:kern w:val="0"/>
          <w:sz w:val="32"/>
          <w:szCs w:val="32"/>
        </w:rPr>
        <w:t>建设基于大数据的旅游市场经济运行监测体系，通过</w:t>
      </w:r>
      <w:r>
        <w:rPr>
          <w:rFonts w:ascii="仿宋" w:hAnsi="仿宋" w:eastAsia="仿宋" w:cs="Times New Roman"/>
          <w:bCs/>
          <w:kern w:val="0"/>
          <w:sz w:val="32"/>
          <w:szCs w:val="32"/>
        </w:rPr>
        <w:t>科学研判和准确把握文旅发展趋势</w:t>
      </w:r>
      <w:r>
        <w:rPr>
          <w:rFonts w:hint="eastAsia" w:ascii="仿宋" w:hAnsi="仿宋" w:eastAsia="仿宋" w:cs="Times New Roman"/>
          <w:bCs/>
          <w:kern w:val="0"/>
          <w:sz w:val="32"/>
          <w:szCs w:val="32"/>
        </w:rPr>
        <w:t>，精准投放旅游广告，提升旅游营销成效。</w:t>
      </w:r>
    </w:p>
    <w:p>
      <w:pPr>
        <w:pStyle w:val="9"/>
        <w:numPr>
          <w:ilvl w:val="0"/>
          <w:numId w:val="0"/>
        </w:numPr>
        <w:spacing w:line="560" w:lineRule="exact"/>
        <w:ind w:firstLine="600"/>
        <w:rPr>
          <w:rFonts w:eastAsia="仿宋"/>
          <w:sz w:val="32"/>
          <w:szCs w:val="32"/>
        </w:rPr>
      </w:pPr>
      <w:r>
        <w:rPr>
          <w:rFonts w:hint="eastAsia" w:ascii="仿宋" w:hAnsi="仿宋" w:eastAsia="仿宋" w:cs="Times New Roman"/>
          <w:bCs/>
          <w:kern w:val="0"/>
          <w:sz w:val="32"/>
          <w:szCs w:val="32"/>
        </w:rPr>
        <w:t>借助江苏对外交流合作平台，加强对日本、韩国、新加坡主要境外客源地以及香港、澳门、台湾等地区宣传推广力度，加快发展入境旅游，不断扩大“幸福水天堂”的海外影响力。</w:t>
      </w:r>
    </w:p>
    <w:p>
      <w:pPr>
        <w:spacing w:line="560" w:lineRule="exact"/>
        <w:ind w:firstLine="643" w:firstLineChars="200"/>
        <w:rPr>
          <w:rFonts w:ascii="仿宋" w:hAnsi="仿宋" w:eastAsia="仿宋" w:cs="Times New Roman"/>
          <w:b/>
          <w:kern w:val="0"/>
          <w:sz w:val="32"/>
          <w:szCs w:val="32"/>
          <w:lang w:val="zh-TW"/>
        </w:rPr>
      </w:pPr>
      <w:bookmarkStart w:id="75" w:name="_Toc23404"/>
      <w:r>
        <w:rPr>
          <w:rFonts w:hint="eastAsia" w:ascii="仿宋" w:hAnsi="仿宋" w:eastAsia="仿宋" w:cs="Times New Roman"/>
          <w:b/>
          <w:kern w:val="0"/>
          <w:sz w:val="32"/>
          <w:szCs w:val="32"/>
        </w:rPr>
        <w:t>（三）</w:t>
      </w:r>
      <w:r>
        <w:rPr>
          <w:rFonts w:hint="eastAsia" w:ascii="仿宋" w:hAnsi="仿宋" w:eastAsia="仿宋" w:cs="Times New Roman"/>
          <w:b/>
          <w:kern w:val="0"/>
          <w:sz w:val="32"/>
          <w:szCs w:val="32"/>
          <w:lang w:val="zh-TW"/>
        </w:rPr>
        <w:t>构建</w:t>
      </w:r>
      <w:r>
        <w:rPr>
          <w:rFonts w:hint="eastAsia" w:ascii="仿宋" w:hAnsi="仿宋" w:eastAsia="仿宋" w:cs="Times New Roman"/>
          <w:b/>
          <w:kern w:val="0"/>
          <w:sz w:val="32"/>
          <w:szCs w:val="32"/>
        </w:rPr>
        <w:t>文旅</w:t>
      </w:r>
      <w:r>
        <w:rPr>
          <w:rFonts w:hint="eastAsia" w:ascii="仿宋" w:hAnsi="仿宋" w:eastAsia="仿宋" w:cs="Times New Roman"/>
          <w:b/>
          <w:kern w:val="0"/>
          <w:sz w:val="32"/>
          <w:szCs w:val="32"/>
          <w:lang w:val="zh-TW"/>
        </w:rPr>
        <w:t>节庆体系</w:t>
      </w:r>
      <w:bookmarkEnd w:id="75"/>
    </w:p>
    <w:p>
      <w:pPr>
        <w:pStyle w:val="26"/>
        <w:tabs>
          <w:tab w:val="right" w:leader="dot" w:pos="8300"/>
        </w:tabs>
        <w:spacing w:line="560" w:lineRule="exact"/>
        <w:ind w:firstLine="640" w:firstLineChars="200"/>
        <w:jc w:val="both"/>
        <w:rPr>
          <w:rFonts w:ascii="仿宋" w:hAnsi="仿宋" w:eastAsia="仿宋"/>
          <w:bCs/>
          <w:sz w:val="32"/>
          <w:szCs w:val="32"/>
        </w:rPr>
      </w:pPr>
      <w:r>
        <w:rPr>
          <w:rFonts w:hint="eastAsia" w:ascii="仿宋" w:hAnsi="仿宋" w:eastAsia="仿宋"/>
          <w:bCs/>
          <w:sz w:val="32"/>
          <w:szCs w:val="32"/>
        </w:rPr>
        <w:t>持续举办水城水乡国际旅游节、靖江文艺节、施耐庵文学节、千垛菜花节、红粟文化节、溱潼会船节等品牌节庆活动，不断提升活动覆盖面和社会影响力。举办“春水城、夏亲水、秋湖蟹、冬温泉”四季重点节庆活动和“秀场12月”，着力打造四时泰州节庆品牌，通过全年度的节事活动，打造泰州欢乐365天。进一步提升中国泰州梅兰芳艺术节、中国（泰州）国际医药博览会、凤城河公开水域游泳赛、国医养生旅游季、“寻味泰州”美食季等活动层次和水平，增强城市吸引力。支持相关市区举办会船节、菜花节、溱湖八鲜美食节、汤包节、品蟹赏菊旅游季、美食推广周等系列活动。</w:t>
      </w:r>
    </w:p>
    <w:p>
      <w:pPr>
        <w:pStyle w:val="9"/>
        <w:numPr>
          <w:ilvl w:val="0"/>
          <w:numId w:val="0"/>
        </w:numPr>
        <w:ind w:firstLine="2400" w:firstLineChars="800"/>
        <w:rPr>
          <w:rFonts w:eastAsia="仿宋"/>
        </w:rPr>
      </w:pPr>
      <w:r>
        <w:rPr>
          <w:rFonts w:hint="eastAsia" w:ascii="仿宋" w:hAnsi="仿宋" w:eastAsia="仿宋" w:cs="Times New Roman"/>
          <w:bCs/>
          <w:kern w:val="0"/>
          <w:sz w:val="30"/>
          <w:szCs w:val="30"/>
        </w:rPr>
        <w:t xml:space="preserve">表4 </w:t>
      </w:r>
      <w:r>
        <w:rPr>
          <w:rFonts w:ascii="仿宋" w:hAnsi="仿宋" w:eastAsia="仿宋" w:cs="Times New Roman"/>
          <w:bCs/>
          <w:kern w:val="0"/>
          <w:sz w:val="30"/>
          <w:szCs w:val="30"/>
        </w:rPr>
        <w:t xml:space="preserve"> </w:t>
      </w:r>
      <w:r>
        <w:rPr>
          <w:rFonts w:hint="eastAsia" w:ascii="仿宋" w:hAnsi="仿宋" w:eastAsia="仿宋" w:cs="Times New Roman"/>
          <w:bCs/>
          <w:kern w:val="0"/>
          <w:sz w:val="30"/>
          <w:szCs w:val="30"/>
        </w:rPr>
        <w:t>泰州四季节庆体系</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262"/>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时间</w:t>
            </w:r>
          </w:p>
        </w:tc>
        <w:tc>
          <w:tcPr>
            <w:tcW w:w="741" w:type="pct"/>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活动品牌</w:t>
            </w:r>
          </w:p>
        </w:tc>
        <w:tc>
          <w:tcPr>
            <w:tcW w:w="3806" w:type="pct"/>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系列节庆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春季</w:t>
            </w:r>
          </w:p>
        </w:tc>
        <w:tc>
          <w:tcPr>
            <w:tcW w:w="741" w:type="pct"/>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醉美泰州</w:t>
            </w:r>
          </w:p>
        </w:tc>
        <w:tc>
          <w:tcPr>
            <w:tcW w:w="3806" w:type="pct"/>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泰州水城水乡国际旅游节、湿地生态旅游节、姜堰溱潼会船节；凤城河桃花节；兴化千垛菜花旅游节；引江河樱花旅游节；秋雪湖郁金香联展；各类棋牌类赛事；泰州踏青摄影节；高港乡村旅游节；孤山庙会；“水兵母亲城”红色文化旅游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夏季</w:t>
            </w:r>
          </w:p>
        </w:tc>
        <w:tc>
          <w:tcPr>
            <w:tcW w:w="741" w:type="pct"/>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水漾泰州</w:t>
            </w:r>
          </w:p>
        </w:tc>
        <w:tc>
          <w:tcPr>
            <w:tcW w:w="3806" w:type="pct"/>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引江河、得胜湖等水上运动赛事；依托水产养殖基地举办垂钓大赛；依托秋雪湖欢乐世界等水上游乐设施打造水上嘉年华；长江游轮旅游节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秋季</w:t>
            </w:r>
          </w:p>
        </w:tc>
        <w:tc>
          <w:tcPr>
            <w:tcW w:w="741" w:type="pct"/>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颐养泰州</w:t>
            </w:r>
          </w:p>
        </w:tc>
        <w:tc>
          <w:tcPr>
            <w:tcW w:w="3806" w:type="pct"/>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舌尖泰州”美食节（包括早茶节、螃蟹节、汤包节、烧饼节、小吃节、烹饪大赛、芋头节、溱湖八鲜节等）；“悠闲田园”采摘嘉年华；兴化千垛菊花旅游节；举办自行车赛、马拉松赛等体育赛事；泰州银杏暨养生旅游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冬季</w:t>
            </w:r>
          </w:p>
        </w:tc>
        <w:tc>
          <w:tcPr>
            <w:tcW w:w="741" w:type="pct"/>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乐活泰州</w:t>
            </w:r>
          </w:p>
        </w:tc>
        <w:tc>
          <w:tcPr>
            <w:tcW w:w="3806" w:type="pct"/>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华侨城、乌巾荡等温泉旅游节；依托王艮、施耐庵、黄龙士、张怀瓘、高二适等名人文化打造名人文化旅游节；各大宗教旅游点的宗教祈福节；依托古镇古村打造民俗文化旅游节</w:t>
            </w:r>
          </w:p>
        </w:tc>
      </w:tr>
    </w:tbl>
    <w:p>
      <w:pPr>
        <w:pStyle w:val="8"/>
        <w:spacing w:before="140" w:after="140"/>
        <w:rPr>
          <w:rFonts w:ascii="Times New Roman" w:hAnsi="Times New Roman" w:eastAsia="宋体" w:cs="Times New Roman"/>
          <w:color w:val="000000" w:themeColor="text1"/>
          <w14:textFill>
            <w14:solidFill>
              <w14:schemeClr w14:val="tx1"/>
            </w14:solidFill>
          </w14:textFill>
        </w:rPr>
      </w:pPr>
      <w:bookmarkStart w:id="76" w:name="_Toc85036119"/>
      <w:bookmarkStart w:id="77" w:name="_Toc2538"/>
      <w:r>
        <w:rPr>
          <w:rFonts w:hint="eastAsia" w:ascii="Times New Roman" w:hAnsi="Times New Roman" w:eastAsia="宋体" w:cs="Times New Roman"/>
          <w:color w:val="000000" w:themeColor="text1"/>
          <w14:textFill>
            <w14:solidFill>
              <w14:schemeClr w14:val="tx1"/>
            </w14:solidFill>
          </w14:textFill>
        </w:rPr>
        <w:t>六、构建新体系，提升旅游公共服务</w:t>
      </w:r>
      <w:bookmarkEnd w:id="76"/>
      <w:bookmarkEnd w:id="77"/>
    </w:p>
    <w:p>
      <w:pPr>
        <w:spacing w:line="560" w:lineRule="exact"/>
        <w:ind w:firstLine="640" w:firstLineChars="200"/>
        <w:rPr>
          <w:rFonts w:ascii="仿宋" w:hAnsi="仿宋" w:eastAsia="仿宋" w:cs="Times New Roman"/>
          <w:bCs/>
          <w:kern w:val="0"/>
          <w:sz w:val="32"/>
          <w:szCs w:val="32"/>
        </w:rPr>
      </w:pPr>
      <w:bookmarkStart w:id="78" w:name="_Toc660"/>
      <w:r>
        <w:rPr>
          <w:rFonts w:hint="eastAsia" w:ascii="仿宋" w:hAnsi="仿宋" w:eastAsia="仿宋" w:cs="Times New Roman"/>
          <w:bCs/>
          <w:kern w:val="0"/>
          <w:sz w:val="32"/>
          <w:szCs w:val="32"/>
        </w:rPr>
        <w:t>统筹旅游公共服务设施建设、管理、使用，构建特色鲜明的旅游公共服务体系，增加文化内涵，彰显泰州特色。</w:t>
      </w:r>
    </w:p>
    <w:p>
      <w:pPr>
        <w:spacing w:line="560" w:lineRule="exact"/>
        <w:ind w:firstLine="643" w:firstLineChars="200"/>
        <w:rPr>
          <w:rFonts w:ascii="仿宋" w:hAnsi="仿宋" w:eastAsia="仿宋" w:cs="Times New Roman"/>
          <w:b/>
          <w:kern w:val="0"/>
          <w:sz w:val="32"/>
          <w:szCs w:val="32"/>
          <w:lang w:val="zh-TW"/>
        </w:rPr>
      </w:pPr>
      <w:bookmarkStart w:id="79" w:name="_Toc59018956"/>
      <w:bookmarkStart w:id="80" w:name="_Toc11760"/>
      <w:r>
        <w:rPr>
          <w:rFonts w:hint="eastAsia" w:ascii="仿宋" w:hAnsi="仿宋" w:eastAsia="仿宋" w:cs="Times New Roman"/>
          <w:b/>
          <w:kern w:val="0"/>
          <w:sz w:val="32"/>
          <w:szCs w:val="32"/>
          <w:lang w:val="zh-TW"/>
        </w:rPr>
        <w:t>（</w:t>
      </w:r>
      <w:r>
        <w:rPr>
          <w:rFonts w:hint="eastAsia" w:ascii="仿宋" w:hAnsi="仿宋" w:eastAsia="仿宋" w:cs="Times New Roman"/>
          <w:b/>
          <w:kern w:val="0"/>
          <w:sz w:val="32"/>
          <w:szCs w:val="32"/>
        </w:rPr>
        <w:t>一</w:t>
      </w:r>
      <w:r>
        <w:rPr>
          <w:rFonts w:hint="eastAsia" w:ascii="仿宋" w:hAnsi="仿宋" w:eastAsia="仿宋" w:cs="Times New Roman"/>
          <w:b/>
          <w:kern w:val="0"/>
          <w:sz w:val="32"/>
          <w:szCs w:val="32"/>
          <w:lang w:val="zh-TW"/>
        </w:rPr>
        <w:t>）旅游信息咨询服务体系</w:t>
      </w:r>
      <w:bookmarkEnd w:id="79"/>
      <w:bookmarkEnd w:id="80"/>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构建移动互联、全景体验、线上与线下深度结合的“智慧泰州”旅游信息咨询服务体系，建立三级旅游咨询服务中心和服务点，实现泰州旅游公共信息服务的全覆盖。构建旅游信息指挥调度中心，完善旅游导引标识信息服务，全域推广“幸福水天堂”旅游标识。</w:t>
      </w:r>
      <w:bookmarkStart w:id="81" w:name="_Toc20998"/>
      <w:bookmarkEnd w:id="81"/>
      <w:bookmarkStart w:id="82" w:name="_Toc13651"/>
      <w:bookmarkEnd w:id="82"/>
      <w:bookmarkStart w:id="83" w:name="_Toc22540"/>
      <w:bookmarkEnd w:id="83"/>
    </w:p>
    <w:p>
      <w:pPr>
        <w:pStyle w:val="9"/>
        <w:numPr>
          <w:ilvl w:val="0"/>
          <w:numId w:val="0"/>
        </w:numPr>
        <w:ind w:firstLine="2400" w:firstLineChars="800"/>
        <w:rPr>
          <w:rFonts w:ascii="仿宋" w:hAnsi="仿宋" w:eastAsia="仿宋" w:cs="Times New Roman"/>
          <w:bCs/>
          <w:kern w:val="0"/>
          <w:sz w:val="30"/>
          <w:szCs w:val="30"/>
        </w:rPr>
      </w:pPr>
      <w:r>
        <w:rPr>
          <w:rFonts w:hint="eastAsia" w:ascii="仿宋" w:hAnsi="仿宋" w:eastAsia="仿宋" w:cs="Times New Roman"/>
          <w:bCs/>
          <w:kern w:val="0"/>
          <w:sz w:val="30"/>
          <w:szCs w:val="30"/>
        </w:rPr>
        <w:t>表5</w:t>
      </w:r>
      <w:r>
        <w:rPr>
          <w:rFonts w:ascii="仿宋" w:hAnsi="仿宋" w:eastAsia="仿宋" w:cs="Times New Roman"/>
          <w:bCs/>
          <w:kern w:val="0"/>
          <w:sz w:val="30"/>
          <w:szCs w:val="30"/>
        </w:rPr>
        <w:t xml:space="preserve"> </w:t>
      </w:r>
      <w:r>
        <w:rPr>
          <w:rFonts w:hint="eastAsia" w:ascii="仿宋" w:hAnsi="仿宋" w:eastAsia="仿宋" w:cs="Times New Roman"/>
          <w:bCs/>
          <w:kern w:val="0"/>
          <w:sz w:val="30"/>
          <w:szCs w:val="30"/>
        </w:rPr>
        <w:t xml:space="preserve"> 泰州全域旅游集散中心体系</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78"/>
        <w:gridCol w:w="3789"/>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等级</w:t>
            </w:r>
          </w:p>
        </w:tc>
        <w:tc>
          <w:tcPr>
            <w:tcW w:w="985"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建设要求</w:t>
            </w:r>
          </w:p>
        </w:tc>
        <w:tc>
          <w:tcPr>
            <w:tcW w:w="2224"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服务</w:t>
            </w:r>
          </w:p>
        </w:tc>
        <w:tc>
          <w:tcPr>
            <w:tcW w:w="1261"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一级</w:t>
            </w:r>
          </w:p>
        </w:tc>
        <w:tc>
          <w:tcPr>
            <w:tcW w:w="985"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室内面积大于等于500m</w:t>
            </w:r>
            <w:r>
              <w:rPr>
                <w:rFonts w:hint="eastAsia" w:ascii="Times New Roman" w:hAnsi="Times New Roman" w:eastAsia="宋体" w:cs="Times New Roman"/>
                <w:sz w:val="22"/>
                <w:szCs w:val="22"/>
                <w:vertAlign w:val="superscript"/>
              </w:rPr>
              <w:t>2</w:t>
            </w:r>
            <w:r>
              <w:rPr>
                <w:rFonts w:hint="eastAsia" w:ascii="Times New Roman" w:hAnsi="Times New Roman" w:eastAsia="宋体" w:cs="Times New Roman"/>
                <w:sz w:val="22"/>
                <w:szCs w:val="22"/>
              </w:rPr>
              <w:t>；</w:t>
            </w:r>
          </w:p>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停车位大于等于500个</w:t>
            </w:r>
          </w:p>
        </w:tc>
        <w:tc>
          <w:tcPr>
            <w:tcW w:w="2224"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提供旅游线路与旅游专线、旅游换乘、信息咨询、旅游预订、游客游憩、旅游宣传展示、交通工具租赁以及投诉处理、医疗救护、金融邮政服务等</w:t>
            </w:r>
          </w:p>
        </w:tc>
        <w:tc>
          <w:tcPr>
            <w:tcW w:w="1261"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泰州高铁站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二级</w:t>
            </w:r>
          </w:p>
        </w:tc>
        <w:tc>
          <w:tcPr>
            <w:tcW w:w="985"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室内面积大于等于200m</w:t>
            </w:r>
            <w:r>
              <w:rPr>
                <w:rFonts w:hint="eastAsia" w:ascii="Times New Roman" w:hAnsi="Times New Roman" w:eastAsia="宋体" w:cs="Times New Roman"/>
                <w:sz w:val="22"/>
                <w:szCs w:val="22"/>
                <w:vertAlign w:val="superscript"/>
              </w:rPr>
              <w:t>2</w:t>
            </w:r>
            <w:r>
              <w:rPr>
                <w:rFonts w:hint="eastAsia" w:ascii="Times New Roman" w:hAnsi="Times New Roman" w:eastAsia="宋体" w:cs="Times New Roman"/>
                <w:sz w:val="22"/>
                <w:szCs w:val="22"/>
              </w:rPr>
              <w:t>；停车位大于等于300个</w:t>
            </w:r>
          </w:p>
        </w:tc>
        <w:tc>
          <w:tcPr>
            <w:tcW w:w="2224"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拥有信息咨询、交通换乘、客房及票务预订、旅游产品宣传展示、交通工具租赁、医疗救护、金融邮政服务等功能</w:t>
            </w:r>
          </w:p>
        </w:tc>
        <w:tc>
          <w:tcPr>
            <w:tcW w:w="1261"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泰州火车站、凤栖湖景区、溱湖旅游景区、兴化城南、黄桥古镇、牧城景区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三级</w:t>
            </w:r>
          </w:p>
        </w:tc>
        <w:tc>
          <w:tcPr>
            <w:tcW w:w="985"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室内面积大于等于100m</w:t>
            </w:r>
            <w:r>
              <w:rPr>
                <w:rFonts w:hint="eastAsia" w:ascii="Times New Roman" w:hAnsi="Times New Roman" w:eastAsia="宋体" w:cs="Times New Roman"/>
                <w:sz w:val="22"/>
                <w:szCs w:val="22"/>
                <w:vertAlign w:val="superscript"/>
              </w:rPr>
              <w:t>2</w:t>
            </w:r>
            <w:r>
              <w:rPr>
                <w:rFonts w:hint="eastAsia" w:ascii="Times New Roman" w:hAnsi="Times New Roman" w:eastAsia="宋体" w:cs="Times New Roman"/>
                <w:sz w:val="22"/>
                <w:szCs w:val="22"/>
              </w:rPr>
              <w:t>；停车位大于等于80个</w:t>
            </w:r>
          </w:p>
        </w:tc>
        <w:tc>
          <w:tcPr>
            <w:tcW w:w="2224"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拥有信息咨询、旅游产品宣传展示、交通工具租赁、医疗救护、金融邮政服务等功能</w:t>
            </w:r>
          </w:p>
        </w:tc>
        <w:tc>
          <w:tcPr>
            <w:tcW w:w="1261"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文旅空间场所、公交终点站</w:t>
            </w:r>
          </w:p>
        </w:tc>
      </w:tr>
    </w:tbl>
    <w:p>
      <w:pPr>
        <w:spacing w:line="560" w:lineRule="exact"/>
        <w:ind w:firstLine="643" w:firstLineChars="200"/>
        <w:rPr>
          <w:rFonts w:ascii="仿宋" w:hAnsi="仿宋" w:eastAsia="仿宋" w:cs="Times New Roman"/>
          <w:b/>
          <w:kern w:val="0"/>
          <w:sz w:val="32"/>
          <w:szCs w:val="32"/>
          <w:lang w:val="zh-TW"/>
        </w:rPr>
      </w:pPr>
      <w:bookmarkStart w:id="84" w:name="_Toc59018957"/>
      <w:bookmarkStart w:id="85" w:name="_Toc13753"/>
      <w:r>
        <w:rPr>
          <w:rFonts w:hint="eastAsia" w:ascii="仿宋" w:hAnsi="仿宋" w:eastAsia="仿宋" w:cs="Times New Roman"/>
          <w:b/>
          <w:kern w:val="0"/>
          <w:sz w:val="32"/>
          <w:szCs w:val="32"/>
          <w:lang w:val="zh-TW"/>
        </w:rPr>
        <w:t>（</w:t>
      </w:r>
      <w:r>
        <w:rPr>
          <w:rFonts w:hint="eastAsia" w:ascii="仿宋" w:hAnsi="仿宋" w:eastAsia="仿宋" w:cs="Times New Roman"/>
          <w:b/>
          <w:kern w:val="0"/>
          <w:sz w:val="32"/>
          <w:szCs w:val="32"/>
        </w:rPr>
        <w:t>二</w:t>
      </w:r>
      <w:r>
        <w:rPr>
          <w:rFonts w:hint="eastAsia" w:ascii="仿宋" w:hAnsi="仿宋" w:eastAsia="仿宋" w:cs="Times New Roman"/>
          <w:b/>
          <w:kern w:val="0"/>
          <w:sz w:val="32"/>
          <w:szCs w:val="32"/>
          <w:lang w:val="zh-TW"/>
        </w:rPr>
        <w:t>）旅游交通便捷服务体系</w:t>
      </w:r>
      <w:bookmarkEnd w:id="84"/>
      <w:bookmarkEnd w:id="85"/>
    </w:p>
    <w:p>
      <w:pPr>
        <w:ind w:firstLine="640" w:firstLineChars="200"/>
      </w:pPr>
      <w:r>
        <w:rPr>
          <w:rFonts w:hint="eastAsia" w:ascii="仿宋" w:hAnsi="仿宋" w:eastAsia="仿宋"/>
          <w:bCs/>
          <w:sz w:val="32"/>
          <w:szCs w:val="32"/>
        </w:rPr>
        <w:t>优化游客出游交通方式，构建“便捷泰州”交通服务体系。以高铁高速、城际轨道交通和港口集疏运体系为主，加快推进区域性综合交通枢纽建设。继续推进泰州市航空、港口、高铁、高速公路等规划建设，打通泰州旅游对外大通道。着眼泰州市域一体化发展，形成1小时市域交通圈、中心城市至各市（区）级节点“半小时通行圈”。</w:t>
      </w:r>
    </w:p>
    <w:p>
      <w:pPr>
        <w:pStyle w:val="26"/>
        <w:tabs>
          <w:tab w:val="right" w:leader="dot" w:pos="8300"/>
        </w:tabs>
        <w:spacing w:line="560" w:lineRule="exact"/>
        <w:ind w:firstLine="640" w:firstLineChars="200"/>
        <w:jc w:val="both"/>
        <w:rPr>
          <w:rFonts w:ascii="仿宋" w:hAnsi="仿宋" w:eastAsia="仿宋"/>
          <w:bCs/>
          <w:sz w:val="32"/>
          <w:szCs w:val="32"/>
        </w:rPr>
      </w:pPr>
      <w:r>
        <w:rPr>
          <w:rFonts w:hint="eastAsia" w:ascii="仿宋" w:hAnsi="仿宋" w:eastAsia="仿宋"/>
          <w:bCs/>
          <w:sz w:val="32"/>
          <w:szCs w:val="32"/>
        </w:rPr>
        <w:t>全面推进旅游风景廊道、骑行道、休闲步行道等全域慢行体系的建设，沿线布局旅游驿站。实施兴东线航道和增产港拓宽疏浚整治工程，完善内河干线航道网，开发水上交通游览线。加快城区、景区、游客集中场所停车场改扩建步伐，发展立体、生态旅游停车场。探索以社会保障卡为载体，建立旅游观光“一卡通”。</w:t>
      </w:r>
    </w:p>
    <w:p>
      <w:pPr>
        <w:pStyle w:val="9"/>
        <w:numPr>
          <w:ilvl w:val="0"/>
          <w:numId w:val="0"/>
        </w:numPr>
        <w:ind w:firstLine="2400" w:firstLineChars="800"/>
        <w:rPr>
          <w:rFonts w:ascii="仿宋" w:hAnsi="仿宋" w:eastAsia="仿宋" w:cs="Times New Roman"/>
          <w:bCs/>
          <w:kern w:val="0"/>
          <w:sz w:val="30"/>
          <w:szCs w:val="30"/>
        </w:rPr>
      </w:pPr>
      <w:r>
        <w:rPr>
          <w:rFonts w:hint="eastAsia" w:ascii="仿宋" w:hAnsi="仿宋" w:eastAsia="仿宋" w:cs="Times New Roman"/>
          <w:bCs/>
          <w:kern w:val="0"/>
          <w:sz w:val="30"/>
          <w:szCs w:val="30"/>
        </w:rPr>
        <w:t>表6 泰州全域风景道体系</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165"/>
        <w:gridCol w:w="2241"/>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名称</w:t>
            </w:r>
          </w:p>
        </w:tc>
        <w:tc>
          <w:tcPr>
            <w:tcW w:w="684"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长度</w:t>
            </w:r>
          </w:p>
        </w:tc>
        <w:tc>
          <w:tcPr>
            <w:tcW w:w="1316"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功能定位</w:t>
            </w:r>
          </w:p>
        </w:tc>
        <w:tc>
          <w:tcPr>
            <w:tcW w:w="2404"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建设范围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96"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Cs w:val="21"/>
              </w:rPr>
              <w:t>基线</w:t>
            </w:r>
          </w:p>
        </w:tc>
        <w:tc>
          <w:tcPr>
            <w:tcW w:w="684"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Cs w:val="21"/>
              </w:rPr>
              <w:t>200公里</w:t>
            </w:r>
          </w:p>
        </w:tc>
        <w:tc>
          <w:tcPr>
            <w:tcW w:w="1316"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Cs w:val="21"/>
              </w:rPr>
              <w:t>泰州的主要对内、对外快速交通通道</w:t>
            </w:r>
          </w:p>
        </w:tc>
        <w:tc>
          <w:tcPr>
            <w:tcW w:w="2404"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Cs w:val="21"/>
              </w:rPr>
              <w:t>市域范围内高速公路，沿线建设风景绿道和特色文化主题公路服务区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96"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Cs w:val="21"/>
              </w:rPr>
              <w:t>主线</w:t>
            </w:r>
          </w:p>
        </w:tc>
        <w:tc>
          <w:tcPr>
            <w:tcW w:w="684" w:type="pct"/>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220公里</w:t>
            </w:r>
          </w:p>
        </w:tc>
        <w:tc>
          <w:tcPr>
            <w:tcW w:w="1316" w:type="pct"/>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泰州市级层面的</w:t>
            </w:r>
          </w:p>
          <w:p>
            <w:pPr>
              <w:jc w:val="center"/>
              <w:rPr>
                <w:rFonts w:ascii="Times New Roman" w:hAnsi="Times New Roman" w:eastAsia="宋体" w:cs="Times New Roman"/>
                <w:sz w:val="22"/>
                <w:szCs w:val="22"/>
              </w:rPr>
            </w:pPr>
            <w:r>
              <w:rPr>
                <w:rFonts w:hint="eastAsia" w:ascii="Times New Roman" w:hAnsi="Times New Roman" w:eastAsia="宋体" w:cs="Times New Roman"/>
                <w:szCs w:val="21"/>
              </w:rPr>
              <w:t>风景道</w:t>
            </w:r>
          </w:p>
        </w:tc>
        <w:tc>
          <w:tcPr>
            <w:tcW w:w="2404"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Cs w:val="21"/>
              </w:rPr>
              <w:t>长江风情、花海水乡、浪漫湖泊、健康养生、古镇乡风、水城郊野六条风景廊道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96"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Cs w:val="21"/>
              </w:rPr>
              <w:t>支线</w:t>
            </w:r>
          </w:p>
        </w:tc>
        <w:tc>
          <w:tcPr>
            <w:tcW w:w="684" w:type="pct"/>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150公里</w:t>
            </w:r>
          </w:p>
        </w:tc>
        <w:tc>
          <w:tcPr>
            <w:tcW w:w="1316" w:type="pct"/>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泰州市所辖各市（区）级层面的</w:t>
            </w:r>
          </w:p>
          <w:p>
            <w:pPr>
              <w:jc w:val="center"/>
              <w:rPr>
                <w:rFonts w:ascii="Times New Roman" w:hAnsi="Times New Roman" w:eastAsia="宋体" w:cs="Times New Roman"/>
                <w:sz w:val="22"/>
                <w:szCs w:val="22"/>
              </w:rPr>
            </w:pPr>
            <w:r>
              <w:rPr>
                <w:rFonts w:hint="eastAsia" w:ascii="Times New Roman" w:hAnsi="Times New Roman" w:eastAsia="宋体" w:cs="Times New Roman"/>
                <w:szCs w:val="21"/>
              </w:rPr>
              <w:t>风景道</w:t>
            </w:r>
          </w:p>
        </w:tc>
        <w:tc>
          <w:tcPr>
            <w:tcW w:w="2404"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Cs w:val="21"/>
              </w:rPr>
              <w:t>山水休闲、乡村休闲、健康游憩、海军观瞻、都市活力、郊野畅游、魅力小城七条风景廊道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Cs w:val="21"/>
              </w:rPr>
              <w:t>旅游休闲步道</w:t>
            </w:r>
          </w:p>
        </w:tc>
        <w:tc>
          <w:tcPr>
            <w:tcW w:w="684" w:type="pct"/>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150公里</w:t>
            </w:r>
          </w:p>
        </w:tc>
        <w:tc>
          <w:tcPr>
            <w:tcW w:w="1316"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Cs w:val="21"/>
              </w:rPr>
              <w:t>以自行车道及步行道为主</w:t>
            </w:r>
          </w:p>
        </w:tc>
        <w:tc>
          <w:tcPr>
            <w:tcW w:w="2404"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Cs w:val="21"/>
              </w:rPr>
              <w:t>海陵区和姜堰区50公里、高港区30公里、泰兴市20公里、靖江市20公里、兴化市30公里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shd w:val="clear" w:color="auto" w:fill="FFFFFF"/>
            <w:vAlign w:val="center"/>
          </w:tcPr>
          <w:p>
            <w:pPr>
              <w:jc w:val="center"/>
              <w:rPr>
                <w:rFonts w:ascii="Times New Roman" w:hAnsi="Times New Roman" w:eastAsia="宋体" w:cs="Times New Roman"/>
                <w:b/>
                <w:bCs/>
                <w:sz w:val="22"/>
                <w:szCs w:val="22"/>
              </w:rPr>
            </w:pPr>
            <w:r>
              <w:rPr>
                <w:rFonts w:hint="eastAsia" w:ascii="Times New Roman" w:hAnsi="Times New Roman" w:eastAsia="宋体" w:cs="Times New Roman"/>
                <w:b/>
                <w:bCs/>
                <w:szCs w:val="21"/>
              </w:rPr>
              <w:t>自然风景绿道</w:t>
            </w:r>
          </w:p>
        </w:tc>
        <w:tc>
          <w:tcPr>
            <w:tcW w:w="684" w:type="pct"/>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100公里</w:t>
            </w:r>
          </w:p>
        </w:tc>
        <w:tc>
          <w:tcPr>
            <w:tcW w:w="1316"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Cs w:val="21"/>
              </w:rPr>
              <w:t>彰显泰州水城特色的自然生态风景道</w:t>
            </w:r>
          </w:p>
        </w:tc>
        <w:tc>
          <w:tcPr>
            <w:tcW w:w="2404" w:type="pct"/>
            <w:shd w:val="clear" w:color="auto" w:fill="FFFFFF"/>
            <w:vAlign w:val="center"/>
          </w:tcPr>
          <w:p>
            <w:pPr>
              <w:jc w:val="center"/>
              <w:rPr>
                <w:rFonts w:ascii="Times New Roman" w:hAnsi="Times New Roman" w:eastAsia="宋体" w:cs="Times New Roman"/>
                <w:sz w:val="22"/>
                <w:szCs w:val="22"/>
              </w:rPr>
            </w:pPr>
            <w:r>
              <w:rPr>
                <w:rFonts w:hint="eastAsia" w:ascii="Times New Roman" w:hAnsi="Times New Roman" w:eastAsia="宋体" w:cs="Times New Roman"/>
                <w:szCs w:val="21"/>
              </w:rPr>
              <w:t>沿长江、运盐河、凤城河、十圩港、宣堡港、北大街、如泰运河、乌巾荡风景区—平旺湖—李中水上森林等</w:t>
            </w:r>
          </w:p>
        </w:tc>
      </w:tr>
    </w:tbl>
    <w:p>
      <w:pPr>
        <w:spacing w:line="560" w:lineRule="exact"/>
        <w:ind w:firstLine="643" w:firstLineChars="200"/>
        <w:rPr>
          <w:rFonts w:ascii="仿宋" w:hAnsi="仿宋" w:eastAsia="仿宋" w:cs="Times New Roman"/>
          <w:b/>
          <w:kern w:val="0"/>
          <w:sz w:val="32"/>
          <w:szCs w:val="32"/>
          <w:lang w:val="zh-TW"/>
        </w:rPr>
      </w:pPr>
      <w:bookmarkStart w:id="86" w:name="_Toc31665"/>
      <w:bookmarkStart w:id="87" w:name="_Toc59018958"/>
      <w:r>
        <w:rPr>
          <w:rFonts w:hint="eastAsia" w:ascii="仿宋" w:hAnsi="仿宋" w:eastAsia="仿宋" w:cs="Times New Roman"/>
          <w:b/>
          <w:kern w:val="0"/>
          <w:sz w:val="32"/>
          <w:szCs w:val="32"/>
          <w:lang w:val="zh-TW"/>
        </w:rPr>
        <w:t>（</w:t>
      </w:r>
      <w:r>
        <w:rPr>
          <w:rFonts w:hint="eastAsia" w:ascii="仿宋" w:hAnsi="仿宋" w:eastAsia="仿宋" w:cs="Times New Roman"/>
          <w:b/>
          <w:kern w:val="0"/>
          <w:sz w:val="32"/>
          <w:szCs w:val="32"/>
        </w:rPr>
        <w:t>三</w:t>
      </w:r>
      <w:r>
        <w:rPr>
          <w:rFonts w:hint="eastAsia" w:ascii="仿宋" w:hAnsi="仿宋" w:eastAsia="仿宋" w:cs="Times New Roman"/>
          <w:b/>
          <w:kern w:val="0"/>
          <w:sz w:val="32"/>
          <w:szCs w:val="32"/>
          <w:lang w:val="zh-TW"/>
        </w:rPr>
        <w:t>）旅游厕所革命</w:t>
      </w:r>
      <w:bookmarkEnd w:id="86"/>
      <w:bookmarkEnd w:id="87"/>
    </w:p>
    <w:p>
      <w:pPr>
        <w:pStyle w:val="26"/>
        <w:tabs>
          <w:tab w:val="right" w:leader="dot" w:pos="8300"/>
        </w:tabs>
        <w:spacing w:line="560" w:lineRule="exact"/>
        <w:ind w:firstLine="640" w:firstLineChars="200"/>
        <w:jc w:val="both"/>
        <w:rPr>
          <w:rFonts w:ascii="仿宋" w:hAnsi="仿宋" w:eastAsia="仿宋"/>
          <w:bCs/>
          <w:sz w:val="32"/>
          <w:szCs w:val="32"/>
        </w:rPr>
      </w:pPr>
      <w:r>
        <w:rPr>
          <w:rFonts w:hint="eastAsia" w:ascii="仿宋" w:hAnsi="仿宋" w:eastAsia="仿宋"/>
          <w:bCs/>
          <w:sz w:val="32"/>
          <w:szCs w:val="32"/>
        </w:rPr>
        <w:t>持续分类推进“厕所革命”，做到质量合格、深入城乡、全域覆盖。</w:t>
      </w:r>
      <w:r>
        <w:rPr>
          <w:rFonts w:ascii="仿宋" w:hAnsi="仿宋" w:eastAsia="仿宋"/>
          <w:bCs/>
          <w:sz w:val="32"/>
          <w:szCs w:val="32"/>
        </w:rPr>
        <w:t>按照</w:t>
      </w:r>
      <w:r>
        <w:rPr>
          <w:rFonts w:hint="eastAsia" w:ascii="仿宋" w:hAnsi="仿宋" w:eastAsia="仿宋"/>
          <w:bCs/>
          <w:sz w:val="32"/>
          <w:szCs w:val="32"/>
        </w:rPr>
        <w:t>高品质旅游厕所的建设要求</w:t>
      </w:r>
      <w:r>
        <w:rPr>
          <w:rFonts w:ascii="仿宋" w:hAnsi="仿宋" w:eastAsia="仿宋"/>
          <w:bCs/>
          <w:sz w:val="32"/>
          <w:szCs w:val="32"/>
        </w:rPr>
        <w:t>，对</w:t>
      </w:r>
      <w:r>
        <w:rPr>
          <w:rFonts w:hint="eastAsia" w:ascii="仿宋" w:hAnsi="仿宋" w:eastAsia="仿宋"/>
          <w:bCs/>
          <w:sz w:val="32"/>
          <w:szCs w:val="32"/>
        </w:rPr>
        <w:t>城乡和景区景点</w:t>
      </w:r>
      <w:r>
        <w:rPr>
          <w:rFonts w:ascii="仿宋" w:hAnsi="仿宋" w:eastAsia="仿宋"/>
          <w:bCs/>
          <w:sz w:val="32"/>
          <w:szCs w:val="32"/>
        </w:rPr>
        <w:t>的公共厕所实施升级改造</w:t>
      </w:r>
      <w:r>
        <w:rPr>
          <w:rFonts w:hint="eastAsia" w:ascii="仿宋" w:hAnsi="仿宋" w:eastAsia="仿宋"/>
          <w:bCs/>
          <w:sz w:val="32"/>
          <w:szCs w:val="32"/>
        </w:rPr>
        <w:t>。对</w:t>
      </w:r>
      <w:r>
        <w:rPr>
          <w:rFonts w:ascii="仿宋" w:hAnsi="仿宋" w:eastAsia="仿宋"/>
          <w:bCs/>
          <w:sz w:val="32"/>
          <w:szCs w:val="32"/>
        </w:rPr>
        <w:t>城市的主要街区、商业集中区、通往景区的干线道路上旅游</w:t>
      </w:r>
      <w:r>
        <w:rPr>
          <w:rFonts w:hint="eastAsia" w:ascii="仿宋" w:hAnsi="仿宋" w:eastAsia="仿宋"/>
          <w:bCs/>
          <w:sz w:val="32"/>
          <w:szCs w:val="32"/>
        </w:rPr>
        <w:t>厕所进行提档升级</w:t>
      </w:r>
      <w:r>
        <w:rPr>
          <w:rFonts w:ascii="仿宋" w:hAnsi="仿宋" w:eastAsia="仿宋"/>
          <w:bCs/>
          <w:sz w:val="32"/>
          <w:szCs w:val="32"/>
        </w:rPr>
        <w:t>，建设</w:t>
      </w:r>
      <w:r>
        <w:rPr>
          <w:rFonts w:hint="eastAsia" w:ascii="仿宋" w:hAnsi="仿宋" w:eastAsia="仿宋"/>
          <w:bCs/>
          <w:sz w:val="32"/>
          <w:szCs w:val="32"/>
        </w:rPr>
        <w:t>数量充足</w:t>
      </w:r>
      <w:r>
        <w:rPr>
          <w:rFonts w:ascii="仿宋" w:hAnsi="仿宋" w:eastAsia="仿宋"/>
          <w:bCs/>
          <w:sz w:val="32"/>
          <w:szCs w:val="32"/>
        </w:rPr>
        <w:t>的旅游厕所。</w:t>
      </w:r>
    </w:p>
    <w:p>
      <w:pPr>
        <w:pStyle w:val="8"/>
        <w:spacing w:before="140" w:after="140"/>
        <w:rPr>
          <w:rFonts w:ascii="Times New Roman" w:hAnsi="Times New Roman" w:eastAsia="宋体" w:cs="Times New Roman"/>
          <w:color w:val="000000" w:themeColor="text1"/>
          <w14:textFill>
            <w14:solidFill>
              <w14:schemeClr w14:val="tx1"/>
            </w14:solidFill>
          </w14:textFill>
        </w:rPr>
      </w:pPr>
      <w:r>
        <w:fldChar w:fldCharType="begin"/>
      </w:r>
      <w:r>
        <w:instrText xml:space="preserve"> HYPERLINK \l "_Toc22352" </w:instrText>
      </w:r>
      <w:r>
        <w:fldChar w:fldCharType="separate"/>
      </w:r>
      <w:bookmarkStart w:id="88" w:name="_Toc85036120"/>
      <w:r>
        <w:rPr>
          <w:rFonts w:hint="eastAsia" w:ascii="Times New Roman" w:hAnsi="Times New Roman" w:eastAsia="宋体" w:cs="Times New Roman"/>
          <w:color w:val="000000" w:themeColor="text1"/>
          <w14:textFill>
            <w14:solidFill>
              <w14:schemeClr w14:val="tx1"/>
            </w14:solidFill>
          </w14:textFill>
        </w:rPr>
        <w:t>七、加快数字化，打造智慧文旅系统</w:t>
      </w:r>
      <w:bookmarkEnd w:id="88"/>
      <w:r>
        <w:rPr>
          <w:rFonts w:hint="eastAsia" w:ascii="Times New Roman" w:hAnsi="Times New Roman" w:eastAsia="宋体" w:cs="Times New Roman"/>
          <w:color w:val="000000" w:themeColor="text1"/>
          <w14:textFill>
            <w14:solidFill>
              <w14:schemeClr w14:val="tx1"/>
            </w14:solidFill>
          </w14:textFill>
        </w:rPr>
        <w:fldChar w:fldCharType="end"/>
      </w:r>
      <w:bookmarkEnd w:id="78"/>
    </w:p>
    <w:p>
      <w:pPr>
        <w:spacing w:line="560" w:lineRule="exact"/>
        <w:ind w:firstLine="640" w:firstLineChars="200"/>
        <w:rPr>
          <w:rFonts w:ascii="仿宋" w:hAnsi="仿宋" w:eastAsia="仿宋" w:cs="Times New Roman"/>
          <w:bCs/>
          <w:kern w:val="0"/>
          <w:sz w:val="32"/>
          <w:szCs w:val="32"/>
        </w:rPr>
      </w:pPr>
      <w:bookmarkStart w:id="89" w:name="_Toc19527"/>
      <w:r>
        <w:rPr>
          <w:rFonts w:hint="eastAsia" w:ascii="仿宋" w:hAnsi="仿宋" w:eastAsia="仿宋" w:cs="Times New Roman"/>
          <w:bCs/>
          <w:kern w:val="0"/>
          <w:sz w:val="32"/>
          <w:szCs w:val="32"/>
        </w:rPr>
        <w:t>顺应数字化发展新趋势，集成运用新技术，加快文旅数字化进程，推动智慧文旅发展和线上线下融合，丰富优质文旅产品的线上供给，拓展文旅消费空间。</w:t>
      </w:r>
    </w:p>
    <w:p>
      <w:pPr>
        <w:spacing w:line="560" w:lineRule="exact"/>
        <w:ind w:firstLine="643" w:firstLineChars="200"/>
        <w:rPr>
          <w:rFonts w:ascii="仿宋" w:hAnsi="仿宋" w:eastAsia="仿宋" w:cs="Times New Roman"/>
          <w:b/>
          <w:kern w:val="0"/>
          <w:sz w:val="32"/>
          <w:szCs w:val="32"/>
          <w:lang w:val="zh-TW"/>
        </w:rPr>
      </w:pPr>
      <w:bookmarkStart w:id="90" w:name="_Toc4861"/>
      <w:r>
        <w:rPr>
          <w:rFonts w:hint="eastAsia" w:ascii="仿宋" w:hAnsi="仿宋" w:eastAsia="仿宋" w:cs="Times New Roman"/>
          <w:b/>
          <w:kern w:val="0"/>
          <w:sz w:val="32"/>
          <w:szCs w:val="32"/>
        </w:rPr>
        <w:t>（一）</w:t>
      </w:r>
      <w:r>
        <w:rPr>
          <w:rFonts w:hint="eastAsia" w:ascii="仿宋" w:hAnsi="仿宋" w:eastAsia="仿宋" w:cs="Times New Roman"/>
          <w:b/>
          <w:kern w:val="0"/>
          <w:sz w:val="32"/>
          <w:szCs w:val="32"/>
          <w:lang w:val="zh-TW"/>
        </w:rPr>
        <w:t>加快智慧化基础设施建设</w:t>
      </w:r>
      <w:bookmarkEnd w:id="90"/>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推动“云、网、端”等信息基础设施建设。依托江苏智慧文旅平台，管理好泰州文旅资源管理信息系统，完善泰州旅游大数据中心功能，加快旅游公共服务数字化、网络化和智能化的大数据管理系统建设。推动智慧旅游景区体系和标准化建设，加快提升各类旅游重点区域5G网络覆盖水平，支持建设一批智慧旅游示范景区和村镇，推动道路、旅游厕所等数字化建设，推动一批无人化、非接触式基础设施普及运用。</w:t>
      </w:r>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lang w:val="zh-TW"/>
        </w:rPr>
        <w:t>（</w:t>
      </w:r>
      <w:r>
        <w:rPr>
          <w:rFonts w:hint="eastAsia" w:ascii="仿宋" w:hAnsi="仿宋" w:eastAsia="仿宋" w:cs="Times New Roman"/>
          <w:b/>
          <w:kern w:val="0"/>
          <w:sz w:val="32"/>
          <w:szCs w:val="32"/>
        </w:rPr>
        <w:t>二</w:t>
      </w:r>
      <w:r>
        <w:rPr>
          <w:rFonts w:hint="eastAsia" w:ascii="仿宋" w:hAnsi="仿宋" w:eastAsia="仿宋" w:cs="Times New Roman"/>
          <w:b/>
          <w:kern w:val="0"/>
          <w:sz w:val="32"/>
          <w:szCs w:val="32"/>
          <w:lang w:val="zh-TW"/>
        </w:rPr>
        <w:t>）培育数字旅游产业</w:t>
      </w:r>
    </w:p>
    <w:p>
      <w:pPr>
        <w:pStyle w:val="26"/>
        <w:tabs>
          <w:tab w:val="right" w:leader="dot" w:pos="8300"/>
        </w:tabs>
        <w:spacing w:line="560" w:lineRule="exact"/>
        <w:ind w:firstLine="640" w:firstLineChars="200"/>
        <w:jc w:val="both"/>
        <w:rPr>
          <w:rFonts w:ascii="仿宋_GB2312" w:eastAsia="仿宋_GB2312" w:cs="仿宋_GB2312"/>
          <w:color w:val="000000"/>
          <w:sz w:val="32"/>
          <w:szCs w:val="32"/>
        </w:rPr>
      </w:pPr>
      <w:r>
        <w:rPr>
          <w:rFonts w:hint="eastAsia" w:ascii="仿宋" w:hAnsi="仿宋" w:eastAsia="仿宋"/>
          <w:bCs/>
          <w:sz w:val="32"/>
          <w:szCs w:val="32"/>
        </w:rPr>
        <w:t>顺应互联网、大数据、云计算、人工智能等发展新趋势，推进数字旅游产业发展。提升数字旅游产业创新能力，推出一批新产品、培育一批新业态、形成一批新模式，优化产业结构，培育数据要素市场，扩展特色数字旅游产业链。抓住“后疫情时期”数字消费新机遇，开发云旅游等数字旅游产品，推广沉浸式体验型数字前沿产品。推动多媒体数字展示技术与旅游行业的创意融合，提升景区吸引力。</w:t>
      </w:r>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lang w:val="zh-TW"/>
        </w:rPr>
        <w:t>（</w:t>
      </w:r>
      <w:r>
        <w:rPr>
          <w:rFonts w:hint="eastAsia" w:ascii="仿宋" w:hAnsi="仿宋" w:eastAsia="仿宋" w:cs="Times New Roman"/>
          <w:b/>
          <w:kern w:val="0"/>
          <w:sz w:val="32"/>
          <w:szCs w:val="32"/>
        </w:rPr>
        <w:t>三</w:t>
      </w:r>
      <w:r>
        <w:rPr>
          <w:rFonts w:hint="eastAsia" w:ascii="仿宋" w:hAnsi="仿宋" w:eastAsia="仿宋" w:cs="Times New Roman"/>
          <w:b/>
          <w:kern w:val="0"/>
          <w:sz w:val="32"/>
          <w:szCs w:val="32"/>
          <w:lang w:val="zh-TW"/>
        </w:rPr>
        <w:t>）发展智慧旅游服务</w:t>
      </w:r>
    </w:p>
    <w:p>
      <w:pPr>
        <w:pStyle w:val="26"/>
        <w:tabs>
          <w:tab w:val="right" w:leader="dot" w:pos="8300"/>
        </w:tabs>
        <w:spacing w:line="560" w:lineRule="exact"/>
        <w:ind w:firstLine="640" w:firstLineChars="200"/>
        <w:jc w:val="both"/>
        <w:rPr>
          <w:rFonts w:ascii="仿宋" w:hAnsi="仿宋" w:eastAsia="仿宋"/>
          <w:bCs/>
          <w:sz w:val="32"/>
          <w:szCs w:val="32"/>
        </w:rPr>
      </w:pPr>
      <w:r>
        <w:rPr>
          <w:rFonts w:hint="eastAsia" w:ascii="仿宋" w:hAnsi="仿宋" w:eastAsia="仿宋"/>
          <w:bCs/>
          <w:sz w:val="32"/>
          <w:szCs w:val="32"/>
        </w:rPr>
        <w:t>全方位推进5G、云计算、大数据、VR/AR、物联网、人工智能、区块链等新技术在旅游领域的应用。推出一批智慧景区、智慧乡村旅游点、智慧文博场馆，普及电子地图、语音导览、扫码入园、刷脸通行、无接触服务等智慧服务，推动道路、厕所等数字化建设，开创智慧旅游生活消费新体验。引入AR/VR等数字技术，打造物理景观、文旅要素的虚拟空间移植和再现。利用区块链技术的广泛融合能力，实现产品、服务身份快速验证、溯源，保证消费者合法权益，为社会公众提供更加智能、便捷、优质的旅游体验。大力推进“泰周到”文旅区域性消费平台招商。到2025年，国家4A级及以上旅游景区、省级及以上旅游度假区基本实现智慧化转型升级。</w:t>
      </w:r>
    </w:p>
    <w:p>
      <w:pPr>
        <w:pStyle w:val="8"/>
        <w:spacing w:before="140" w:after="140"/>
        <w:rPr>
          <w:rFonts w:ascii="Times New Roman" w:hAnsi="Times New Roman" w:eastAsia="宋体" w:cs="Times New Roman"/>
          <w:color w:val="000000" w:themeColor="text1"/>
          <w14:textFill>
            <w14:solidFill>
              <w14:schemeClr w14:val="tx1"/>
            </w14:solidFill>
          </w14:textFill>
        </w:rPr>
      </w:pPr>
      <w:bookmarkStart w:id="91" w:name="_Toc85036121"/>
      <w:r>
        <w:rPr>
          <w:rFonts w:hint="eastAsia" w:ascii="Times New Roman" w:hAnsi="Times New Roman" w:eastAsia="宋体" w:cs="Times New Roman"/>
          <w:color w:val="000000" w:themeColor="text1"/>
          <w14:textFill>
            <w14:solidFill>
              <w14:schemeClr w14:val="tx1"/>
            </w14:solidFill>
          </w14:textFill>
        </w:rPr>
        <w:t>八、运用新理念，构建保护利用体系</w:t>
      </w:r>
      <w:bookmarkEnd w:id="91"/>
    </w:p>
    <w:p>
      <w:pPr>
        <w:pStyle w:val="26"/>
        <w:tabs>
          <w:tab w:val="right" w:leader="dot" w:pos="8300"/>
        </w:tabs>
        <w:spacing w:line="560" w:lineRule="exact"/>
        <w:ind w:firstLine="640" w:firstLineChars="200"/>
        <w:jc w:val="both"/>
        <w:rPr>
          <w:rFonts w:ascii="仿宋" w:hAnsi="仿宋" w:eastAsia="仿宋"/>
          <w:bCs/>
          <w:sz w:val="32"/>
          <w:szCs w:val="32"/>
          <w:lang w:val="zh-CN"/>
        </w:rPr>
      </w:pPr>
      <w:bookmarkStart w:id="92" w:name="_Toc32102"/>
      <w:bookmarkStart w:id="93" w:name="_Toc28226"/>
      <w:bookmarkStart w:id="94" w:name="_Toc30314"/>
      <w:bookmarkStart w:id="95" w:name="_Toc7102"/>
      <w:bookmarkStart w:id="96" w:name="_Toc2163"/>
      <w:bookmarkStart w:id="97" w:name="_Toc16181"/>
      <w:bookmarkStart w:id="98" w:name="_Toc14936"/>
      <w:bookmarkStart w:id="99" w:name="_Toc492"/>
      <w:bookmarkStart w:id="100" w:name="_Toc16603"/>
      <w:bookmarkStart w:id="101" w:name="_Toc16892"/>
      <w:bookmarkStart w:id="102" w:name="_Toc10197"/>
      <w:bookmarkStart w:id="103" w:name="_Toc7681"/>
      <w:bookmarkStart w:id="104" w:name="_Toc13689"/>
      <w:bookmarkStart w:id="105" w:name="_Toc18978"/>
      <w:bookmarkStart w:id="106" w:name="_Toc5242"/>
      <w:bookmarkStart w:id="107" w:name="_Toc17522"/>
      <w:bookmarkStart w:id="108" w:name="_Toc29040"/>
      <w:bookmarkStart w:id="109" w:name="_Toc59387077"/>
      <w:bookmarkStart w:id="110" w:name="_Toc21707"/>
      <w:bookmarkStart w:id="111" w:name="_Toc3501"/>
      <w:bookmarkStart w:id="112" w:name="_Toc11549"/>
      <w:bookmarkStart w:id="113" w:name="_Toc29210"/>
      <w:bookmarkStart w:id="114" w:name="_Toc21180"/>
      <w:bookmarkStart w:id="115" w:name="_Toc9258"/>
      <w:bookmarkStart w:id="116" w:name="_Toc26195"/>
      <w:bookmarkStart w:id="117" w:name="_Toc5497"/>
      <w:bookmarkStart w:id="118" w:name="_Toc9892"/>
      <w:bookmarkStart w:id="119" w:name="_Toc30339"/>
      <w:bookmarkStart w:id="120" w:name="_Toc27306"/>
      <w:bookmarkStart w:id="121" w:name="_Toc14518"/>
      <w:bookmarkStart w:id="122" w:name="_Toc1902577009"/>
      <w:bookmarkStart w:id="123" w:name="_Toc23250"/>
      <w:bookmarkStart w:id="124" w:name="_Toc4044"/>
      <w:bookmarkStart w:id="125" w:name="_Toc25856"/>
      <w:bookmarkStart w:id="126" w:name="_Toc5366"/>
      <w:bookmarkStart w:id="127" w:name="_Toc17644"/>
      <w:bookmarkStart w:id="128" w:name="_Toc10546"/>
      <w:bookmarkStart w:id="129" w:name="_Toc29294"/>
      <w:bookmarkStart w:id="130" w:name="_Toc10481"/>
      <w:bookmarkStart w:id="131" w:name="_Toc29099"/>
      <w:bookmarkStart w:id="132" w:name="_Toc7587"/>
      <w:bookmarkStart w:id="133" w:name="_Toc32678"/>
      <w:bookmarkStart w:id="134" w:name="_Toc765248828"/>
      <w:bookmarkStart w:id="135" w:name="_Toc9614"/>
      <w:bookmarkStart w:id="136" w:name="_Toc15972"/>
      <w:bookmarkStart w:id="137" w:name="_Toc1256"/>
      <w:bookmarkStart w:id="138" w:name="_Toc2366"/>
      <w:bookmarkStart w:id="139" w:name="_Toc18612"/>
      <w:bookmarkStart w:id="140" w:name="_Toc8305"/>
      <w:bookmarkStart w:id="141" w:name="_Toc27411"/>
      <w:bookmarkStart w:id="142" w:name="_Toc7517"/>
      <w:bookmarkStart w:id="143" w:name="_Toc23122"/>
      <w:bookmarkStart w:id="144" w:name="_Toc3307"/>
      <w:bookmarkStart w:id="145" w:name="_Toc16931"/>
      <w:bookmarkStart w:id="146" w:name="_Toc12329"/>
      <w:bookmarkStart w:id="147" w:name="_Toc24620"/>
      <w:r>
        <w:rPr>
          <w:rFonts w:hint="eastAsia" w:ascii="仿宋" w:hAnsi="仿宋" w:eastAsia="仿宋"/>
          <w:bCs/>
          <w:sz w:val="32"/>
          <w:szCs w:val="32"/>
          <w:lang w:val="zh-CN"/>
        </w:rPr>
        <w:t>贯彻落实生态文明思想，深入推进美丽泰州建设行动，打造美丽江苏泰州样板，建好国家生态文明建设示范市，努力成为长三角地区生态“后花园”，打造人文自然资源利用示范高地。</w:t>
      </w:r>
    </w:p>
    <w:p>
      <w:pPr>
        <w:spacing w:line="560" w:lineRule="exact"/>
        <w:ind w:firstLine="643" w:firstLineChars="200"/>
        <w:rPr>
          <w:rFonts w:ascii="仿宋" w:hAnsi="仿宋" w:eastAsia="仿宋" w:cs="Times New Roman"/>
          <w:b/>
          <w:kern w:val="0"/>
          <w:sz w:val="32"/>
          <w:szCs w:val="32"/>
          <w:lang w:val="zh-CN"/>
        </w:rPr>
      </w:pPr>
      <w:bookmarkStart w:id="148" w:name="_Toc7208"/>
      <w:r>
        <w:rPr>
          <w:rFonts w:hint="eastAsia" w:ascii="仿宋" w:hAnsi="仿宋" w:eastAsia="仿宋" w:cs="Times New Roman"/>
          <w:b/>
          <w:kern w:val="0"/>
          <w:sz w:val="32"/>
          <w:szCs w:val="32"/>
        </w:rPr>
        <w:t>（一）</w:t>
      </w:r>
      <w:r>
        <w:rPr>
          <w:rFonts w:hint="eastAsia" w:ascii="仿宋" w:hAnsi="仿宋" w:eastAsia="仿宋" w:cs="Times New Roman"/>
          <w:b/>
          <w:kern w:val="0"/>
          <w:sz w:val="32"/>
          <w:szCs w:val="32"/>
          <w:lang w:val="zh-CN"/>
        </w:rPr>
        <w:t>人文资源保护利用</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spacing w:line="560" w:lineRule="exact"/>
        <w:ind w:firstLine="640" w:firstLineChars="200"/>
        <w:rPr>
          <w:rFonts w:ascii="仿宋" w:hAnsi="仿宋" w:eastAsia="仿宋"/>
          <w:bCs/>
          <w:sz w:val="32"/>
          <w:szCs w:val="32"/>
          <w:lang w:val="zh-CN"/>
        </w:rPr>
      </w:pPr>
      <w:r>
        <w:rPr>
          <w:rFonts w:hint="eastAsia" w:ascii="仿宋" w:hAnsi="仿宋" w:eastAsia="仿宋"/>
          <w:bCs/>
          <w:sz w:val="32"/>
          <w:szCs w:val="32"/>
          <w:lang w:val="zh-CN"/>
        </w:rPr>
        <w:t>树立全新的文化和旅游资源观，</w:t>
      </w:r>
      <w:r>
        <w:rPr>
          <w:rFonts w:hint="eastAsia" w:ascii="仿宋" w:hAnsi="仿宋" w:eastAsia="仿宋"/>
          <w:bCs/>
          <w:sz w:val="32"/>
          <w:szCs w:val="32"/>
        </w:rPr>
        <w:t>积极</w:t>
      </w:r>
      <w:r>
        <w:rPr>
          <w:rFonts w:hint="eastAsia" w:ascii="仿宋" w:hAnsi="仿宋" w:eastAsia="仿宋"/>
          <w:bCs/>
          <w:sz w:val="32"/>
          <w:szCs w:val="32"/>
          <w:lang w:val="zh-CN"/>
        </w:rPr>
        <w:t>推进文化和旅游资源普查工作，系统梳理资源分布、等级情况，摸清资源家底，增加资源储备，建立文化和旅游资源数据库。加强文物、遗址遗迹、非遗等保护和传承，全面推进古盐运河文化带建设，打造传承和展示江淮文化、三水古郡、泰州精神的多彩运河，建设“一园两片区多节点”的国家文化公园，</w:t>
      </w:r>
      <w:r>
        <w:rPr>
          <w:rFonts w:hint="eastAsia" w:ascii="仿宋" w:hAnsi="仿宋" w:eastAsia="仿宋"/>
          <w:bCs/>
          <w:sz w:val="32"/>
          <w:szCs w:val="32"/>
        </w:rPr>
        <w:t>实施一批运河遗址遗迹的修复、重建与改造工程，修复老海陵仓、文天祥诗碑园（松柏园）等遗迹，加快泰来面粉厂工业遗址、天目山遗址等项目建设。</w:t>
      </w:r>
      <w:r>
        <w:rPr>
          <w:rFonts w:hint="eastAsia" w:ascii="仿宋" w:hAnsi="仿宋" w:eastAsia="仿宋"/>
          <w:bCs/>
          <w:sz w:val="32"/>
          <w:szCs w:val="32"/>
          <w:lang w:val="zh-CN"/>
        </w:rPr>
        <w:t>建好凤城河旅游长廊、“春江花月夜”文化主题公园。</w:t>
      </w:r>
      <w:bookmarkStart w:id="149" w:name="_Toc2359"/>
      <w:bookmarkStart w:id="150" w:name="_Toc32707"/>
      <w:bookmarkStart w:id="151" w:name="_Toc29591"/>
      <w:bookmarkStart w:id="152" w:name="_Toc25853"/>
      <w:bookmarkStart w:id="153" w:name="_Toc23768"/>
      <w:bookmarkStart w:id="154" w:name="_Toc26865"/>
      <w:bookmarkStart w:id="155" w:name="_Toc12306"/>
      <w:bookmarkStart w:id="156" w:name="_Toc28162"/>
      <w:bookmarkStart w:id="157" w:name="_Toc12790"/>
      <w:bookmarkStart w:id="158" w:name="_Toc20535"/>
      <w:bookmarkStart w:id="159" w:name="_Toc7261"/>
      <w:bookmarkStart w:id="160" w:name="_Toc22494"/>
      <w:bookmarkStart w:id="161" w:name="_Toc10825"/>
      <w:bookmarkStart w:id="162" w:name="_Toc21378"/>
      <w:bookmarkStart w:id="163" w:name="_Toc26994"/>
      <w:bookmarkStart w:id="164" w:name="_Toc28376"/>
      <w:bookmarkStart w:id="165" w:name="_Toc24219"/>
      <w:bookmarkStart w:id="166" w:name="_Toc22644"/>
      <w:bookmarkStart w:id="167" w:name="_Toc5494"/>
      <w:bookmarkStart w:id="168" w:name="_Toc19881"/>
      <w:bookmarkStart w:id="169" w:name="_Toc28255"/>
      <w:bookmarkStart w:id="170" w:name="_Toc5130"/>
      <w:bookmarkStart w:id="171" w:name="_Toc25582"/>
      <w:bookmarkStart w:id="172" w:name="_Toc29298"/>
      <w:bookmarkStart w:id="173" w:name="_Toc16828"/>
      <w:bookmarkStart w:id="174" w:name="_Toc28665"/>
      <w:bookmarkStart w:id="175" w:name="_Toc963997215"/>
      <w:bookmarkStart w:id="176" w:name="_Toc20147"/>
      <w:bookmarkStart w:id="177" w:name="_Toc14988"/>
      <w:bookmarkStart w:id="178" w:name="_Toc24365"/>
      <w:bookmarkStart w:id="179" w:name="_Toc16664"/>
      <w:bookmarkStart w:id="180" w:name="_Toc29919"/>
      <w:bookmarkStart w:id="181" w:name="_Toc21743"/>
      <w:bookmarkStart w:id="182" w:name="_Toc2099803794"/>
      <w:bookmarkStart w:id="183" w:name="_Toc5792"/>
      <w:bookmarkStart w:id="184" w:name="_Toc21462"/>
      <w:bookmarkStart w:id="185" w:name="_Toc12227"/>
      <w:bookmarkStart w:id="186" w:name="_Toc4433"/>
      <w:bookmarkStart w:id="187" w:name="_Toc16272"/>
      <w:bookmarkStart w:id="188" w:name="_Toc11135"/>
      <w:bookmarkStart w:id="189" w:name="_Toc19114"/>
      <w:bookmarkStart w:id="190" w:name="_Toc16011"/>
      <w:bookmarkStart w:id="191" w:name="_Toc11268"/>
      <w:bookmarkStart w:id="192" w:name="_Toc15567"/>
      <w:bookmarkStart w:id="193" w:name="_Toc11914"/>
      <w:bookmarkStart w:id="194" w:name="_Toc20115"/>
      <w:bookmarkStart w:id="195" w:name="_Toc16343"/>
      <w:bookmarkStart w:id="196" w:name="_Toc59387078"/>
      <w:bookmarkStart w:id="197" w:name="_Toc13159"/>
      <w:bookmarkStart w:id="198" w:name="_Toc15627"/>
      <w:bookmarkStart w:id="199" w:name="_Toc20513"/>
      <w:bookmarkStart w:id="200" w:name="_Toc14007"/>
      <w:bookmarkStart w:id="201" w:name="_Toc18467"/>
      <w:bookmarkStart w:id="202" w:name="_Toc7386"/>
      <w:bookmarkStart w:id="203" w:name="_Toc20044"/>
      <w:bookmarkStart w:id="204" w:name="_Toc10011"/>
      <w:bookmarkStart w:id="205" w:name="_Toc21829"/>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（二）自然资源保护利用</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pStyle w:val="26"/>
        <w:tabs>
          <w:tab w:val="right" w:leader="dot" w:pos="8300"/>
        </w:tabs>
        <w:spacing w:line="560" w:lineRule="exact"/>
        <w:ind w:firstLine="640" w:firstLineChars="200"/>
        <w:jc w:val="both"/>
        <w:rPr>
          <w:rFonts w:ascii="仿宋" w:hAnsi="仿宋" w:eastAsia="仿宋"/>
          <w:bCs/>
          <w:sz w:val="32"/>
          <w:szCs w:val="32"/>
          <w:lang w:val="zh-CN"/>
        </w:rPr>
      </w:pPr>
      <w:r>
        <w:rPr>
          <w:rFonts w:hint="eastAsia" w:ascii="仿宋" w:hAnsi="仿宋" w:eastAsia="仿宋"/>
          <w:bCs/>
          <w:sz w:val="32"/>
          <w:szCs w:val="32"/>
          <w:lang w:val="zh-CN"/>
        </w:rPr>
        <w:t>充分考虑生态承载力、自然修复力，运用大数据、云计算等新技术，做好预约调控、环境监测、流量疏导，将旅游活动对自然环境的影响降到最低，积极发展生态旅游。建立覆盖</w:t>
      </w:r>
      <w:r>
        <w:rPr>
          <w:rFonts w:hint="eastAsia" w:ascii="仿宋" w:hAnsi="仿宋" w:eastAsia="仿宋"/>
          <w:bCs/>
          <w:sz w:val="32"/>
          <w:szCs w:val="32"/>
        </w:rPr>
        <w:t>泰州</w:t>
      </w:r>
      <w:r>
        <w:rPr>
          <w:rFonts w:hint="eastAsia" w:ascii="仿宋" w:hAnsi="仿宋" w:eastAsia="仿宋"/>
          <w:bCs/>
          <w:sz w:val="32"/>
          <w:szCs w:val="32"/>
          <w:lang w:val="zh-CN"/>
        </w:rPr>
        <w:t>全市的“三线一单”生态环境分区管控体系，完善“一带、两环、三廊道、四片区”生态安全格局。把修复长江生态环境摆在压倒性位置，持续推进“健康长江泰州行动”，实施好长江十年禁渔，打造好“一带二岛三节点”沿江生态廊道，努力把长江泰州段建设成为人与自然和谐共生的绿色发展示范带。强化重要生态功能区保护，大力推进兴化大纵湖等湖泊退渔退圩还湖，加强溱湖湿地、李中湿地等自然保护区的保护与修复。</w:t>
      </w:r>
    </w:p>
    <w:p>
      <w:pPr>
        <w:pStyle w:val="8"/>
        <w:spacing w:before="140" w:after="140"/>
        <w:rPr>
          <w:rFonts w:ascii="Times New Roman" w:hAnsi="Times New Roman" w:eastAsia="宋体" w:cs="Times New Roman"/>
          <w:color w:val="000000" w:themeColor="text1"/>
          <w14:textFill>
            <w14:solidFill>
              <w14:schemeClr w14:val="tx1"/>
            </w14:solidFill>
          </w14:textFill>
        </w:rPr>
      </w:pPr>
      <w:bookmarkStart w:id="206" w:name="_Toc85036122"/>
      <w:r>
        <w:rPr>
          <w:rFonts w:hint="eastAsia" w:ascii="Times New Roman" w:hAnsi="Times New Roman" w:eastAsia="宋体" w:cs="Times New Roman"/>
          <w:color w:val="000000" w:themeColor="text1"/>
          <w14:textFill>
            <w14:solidFill>
              <w14:schemeClr w14:val="tx1"/>
            </w14:solidFill>
          </w14:textFill>
        </w:rPr>
        <w:t>九、紧扣高效能，提升现代化治理水平</w:t>
      </w:r>
      <w:bookmarkEnd w:id="89"/>
      <w:bookmarkEnd w:id="206"/>
    </w:p>
    <w:p>
      <w:pPr>
        <w:pStyle w:val="26"/>
        <w:tabs>
          <w:tab w:val="right" w:leader="dot" w:pos="8300"/>
        </w:tabs>
        <w:spacing w:line="560" w:lineRule="exact"/>
        <w:ind w:firstLine="640" w:firstLineChars="200"/>
        <w:jc w:val="both"/>
        <w:rPr>
          <w:rFonts w:ascii="仿宋" w:hAnsi="仿宋" w:eastAsia="仿宋"/>
          <w:bCs/>
          <w:sz w:val="32"/>
          <w:szCs w:val="32"/>
        </w:rPr>
      </w:pPr>
      <w:bookmarkStart w:id="207" w:name="_Toc3727"/>
      <w:bookmarkStart w:id="208" w:name="_Toc10791"/>
      <w:bookmarkStart w:id="209" w:name="_Toc11292"/>
      <w:r>
        <w:rPr>
          <w:rFonts w:hint="eastAsia" w:ascii="仿宋" w:hAnsi="仿宋" w:eastAsia="仿宋"/>
          <w:bCs/>
          <w:sz w:val="32"/>
          <w:szCs w:val="32"/>
        </w:rPr>
        <w:t>统筹推动数字技术应用和制度创新，</w:t>
      </w:r>
      <w:r>
        <w:rPr>
          <w:rFonts w:hint="eastAsia" w:ascii="仿宋" w:hAnsi="仿宋" w:eastAsia="仿宋"/>
          <w:bCs/>
          <w:sz w:val="32"/>
          <w:szCs w:val="32"/>
          <w:lang w:val="zh-CN"/>
        </w:rPr>
        <w:t>推进服务与监管融合，提升旅游市场监管、综合执法水平</w:t>
      </w:r>
      <w:r>
        <w:rPr>
          <w:rFonts w:hint="eastAsia" w:ascii="仿宋" w:hAnsi="仿宋" w:eastAsia="仿宋"/>
          <w:bCs/>
          <w:sz w:val="32"/>
          <w:szCs w:val="32"/>
        </w:rPr>
        <w:t>，努力构建旅游现代化治理体系</w:t>
      </w:r>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lang w:val="zh-TW"/>
        </w:rPr>
        <w:t>（</w:t>
      </w:r>
      <w:r>
        <w:rPr>
          <w:rFonts w:hint="eastAsia" w:ascii="仿宋" w:hAnsi="仿宋" w:eastAsia="仿宋" w:cs="Times New Roman"/>
          <w:b/>
          <w:kern w:val="0"/>
          <w:sz w:val="32"/>
          <w:szCs w:val="32"/>
        </w:rPr>
        <w:t>一</w:t>
      </w:r>
      <w:r>
        <w:rPr>
          <w:rFonts w:hint="eastAsia" w:ascii="仿宋" w:hAnsi="仿宋" w:eastAsia="仿宋" w:cs="Times New Roman"/>
          <w:b/>
          <w:kern w:val="0"/>
          <w:sz w:val="32"/>
          <w:szCs w:val="32"/>
          <w:lang w:val="zh-TW"/>
        </w:rPr>
        <w:t>）深化综合行政执法改革</w:t>
      </w:r>
    </w:p>
    <w:p>
      <w:pPr>
        <w:pStyle w:val="26"/>
        <w:tabs>
          <w:tab w:val="right" w:leader="dot" w:pos="8300"/>
        </w:tabs>
        <w:spacing w:line="560" w:lineRule="exact"/>
        <w:ind w:firstLine="640" w:firstLineChars="200"/>
        <w:jc w:val="both"/>
        <w:rPr>
          <w:rFonts w:ascii="仿宋" w:hAnsi="仿宋" w:eastAsia="仿宋"/>
          <w:bCs/>
          <w:sz w:val="32"/>
          <w:szCs w:val="32"/>
        </w:rPr>
      </w:pPr>
      <w:r>
        <w:rPr>
          <w:rFonts w:hint="eastAsia" w:ascii="仿宋" w:hAnsi="仿宋" w:eastAsia="仿宋"/>
          <w:bCs/>
          <w:sz w:val="32"/>
          <w:szCs w:val="32"/>
        </w:rPr>
        <w:t>深化简政放权、放管结合、优化服务改革，按照“互联网+监管”系统平台旅游市场监管事项清单，严格规范公正文明执法，依法开展旅游市场专项整治行动，长效开展扫黑除恶专项斗争。加强执法队伍建设，切实提升执法队伍能力，规范执法行政处罚自由载量权标准。</w:t>
      </w:r>
      <w:r>
        <w:rPr>
          <w:rFonts w:hint="eastAsia" w:ascii="仿宋" w:hAnsi="仿宋" w:eastAsia="仿宋" w:cs="仿宋"/>
          <w:sz w:val="32"/>
          <w:szCs w:val="32"/>
        </w:rPr>
        <w:t>以依法行政</w:t>
      </w:r>
      <w:r>
        <w:rPr>
          <w:rFonts w:hint="eastAsia" w:ascii="仿宋" w:hAnsi="仿宋" w:eastAsia="仿宋"/>
          <w:bCs/>
          <w:sz w:val="32"/>
          <w:szCs w:val="32"/>
        </w:rPr>
        <w:t>为基础，以失信惩戒为重点，建立失信惩戒制度和信用信息公示制度，做好“红、黑名单”管理工作，扎实推进诚信旅游市场建设。</w:t>
      </w:r>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lang w:val="zh-TW"/>
        </w:rPr>
        <w:t>（</w:t>
      </w:r>
      <w:r>
        <w:rPr>
          <w:rFonts w:hint="eastAsia" w:ascii="仿宋" w:hAnsi="仿宋" w:eastAsia="仿宋" w:cs="Times New Roman"/>
          <w:b/>
          <w:kern w:val="0"/>
          <w:sz w:val="32"/>
          <w:szCs w:val="32"/>
        </w:rPr>
        <w:t>二</w:t>
      </w:r>
      <w:r>
        <w:rPr>
          <w:rFonts w:hint="eastAsia" w:ascii="仿宋" w:hAnsi="仿宋" w:eastAsia="仿宋" w:cs="Times New Roman"/>
          <w:b/>
          <w:kern w:val="0"/>
          <w:sz w:val="32"/>
          <w:szCs w:val="32"/>
          <w:lang w:val="zh-TW"/>
        </w:rPr>
        <w:t>）创新行业监管方式</w:t>
      </w:r>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建立健全跨部门、跨区域协同推进工作机制，加强市级部门之间协作和市区之间贯通，推进公共数据的开放共享与创新应用。加强A级景区客流实时监测，推广A级景区“分时预约限流错峰”服务机制。统筹负面清单和正面清单管理，建立公正高效的投诉、处理机制。推动旅游住宿业向标准化、规范化、特色化方向发展。</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lang w:val="zh-TW"/>
        </w:rPr>
        <w:t>（</w:t>
      </w:r>
      <w:r>
        <w:rPr>
          <w:rFonts w:hint="eastAsia" w:ascii="仿宋" w:hAnsi="仿宋" w:eastAsia="仿宋" w:cs="Times New Roman"/>
          <w:b/>
          <w:kern w:val="0"/>
          <w:sz w:val="32"/>
          <w:szCs w:val="32"/>
        </w:rPr>
        <w:t>三</w:t>
      </w:r>
      <w:r>
        <w:rPr>
          <w:rFonts w:hint="eastAsia" w:ascii="仿宋" w:hAnsi="仿宋" w:eastAsia="仿宋" w:cs="Times New Roman"/>
          <w:b/>
          <w:kern w:val="0"/>
          <w:sz w:val="32"/>
          <w:szCs w:val="32"/>
          <w:lang w:val="zh-TW"/>
        </w:rPr>
        <w:t>）推</w:t>
      </w:r>
      <w:r>
        <w:rPr>
          <w:rFonts w:hint="eastAsia" w:ascii="仿宋" w:hAnsi="仿宋" w:eastAsia="仿宋" w:cs="Times New Roman"/>
          <w:b/>
          <w:kern w:val="0"/>
          <w:sz w:val="32"/>
          <w:szCs w:val="32"/>
        </w:rPr>
        <w:t>广</w:t>
      </w:r>
      <w:r>
        <w:rPr>
          <w:rFonts w:hint="eastAsia" w:ascii="仿宋" w:hAnsi="仿宋" w:eastAsia="仿宋" w:cs="Times New Roman"/>
          <w:b/>
          <w:kern w:val="0"/>
          <w:sz w:val="32"/>
          <w:szCs w:val="32"/>
          <w:lang w:val="zh-TW"/>
        </w:rPr>
        <w:t>文明旅游</w:t>
      </w:r>
      <w:r>
        <w:rPr>
          <w:rFonts w:hint="eastAsia" w:ascii="仿宋" w:hAnsi="仿宋" w:eastAsia="仿宋" w:cs="Times New Roman"/>
          <w:b/>
          <w:kern w:val="0"/>
          <w:sz w:val="32"/>
          <w:szCs w:val="32"/>
        </w:rPr>
        <w:t>行为</w:t>
      </w:r>
    </w:p>
    <w:p>
      <w:pPr>
        <w:spacing w:line="56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积极推动行业企业、景区景点将文明旅游要求落地落实，把“文明旅游”作为打造“幸福水天堂”品牌的有力抓手。引导游客自觉遵守《中国公民国内旅游文明行为公约》和《中国公民出国（境）旅游文明行为指南》，尊重旅游目的地风俗习惯，文明游览，树立文明风尚。在全市4A级以上景区建立旅游志愿者队伍和文明旅游监督岗，营造文明旅游的浓厚氛围。</w:t>
      </w:r>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lang w:val="zh-TW"/>
        </w:rPr>
        <w:t>（</w:t>
      </w:r>
      <w:r>
        <w:rPr>
          <w:rFonts w:hint="eastAsia" w:ascii="仿宋" w:hAnsi="仿宋" w:eastAsia="仿宋" w:cs="Times New Roman"/>
          <w:b/>
          <w:kern w:val="0"/>
          <w:sz w:val="32"/>
          <w:szCs w:val="32"/>
        </w:rPr>
        <w:t>四</w:t>
      </w:r>
      <w:r>
        <w:rPr>
          <w:rFonts w:hint="eastAsia" w:ascii="仿宋" w:hAnsi="仿宋" w:eastAsia="仿宋" w:cs="Times New Roman"/>
          <w:b/>
          <w:kern w:val="0"/>
          <w:sz w:val="32"/>
          <w:szCs w:val="32"/>
          <w:lang w:val="zh-TW"/>
        </w:rPr>
        <w:t>）提升旅游安全水平</w:t>
      </w:r>
    </w:p>
    <w:p>
      <w:pPr>
        <w:pStyle w:val="26"/>
        <w:tabs>
          <w:tab w:val="right" w:leader="dot" w:pos="8300"/>
        </w:tabs>
        <w:spacing w:line="560" w:lineRule="exact"/>
        <w:ind w:firstLine="640" w:firstLineChars="200"/>
        <w:rPr>
          <w:rFonts w:ascii="仿宋" w:hAnsi="仿宋" w:eastAsia="仿宋"/>
          <w:bCs/>
          <w:sz w:val="32"/>
          <w:szCs w:val="32"/>
          <w:lang w:val="zh-CN"/>
        </w:rPr>
      </w:pPr>
      <w:r>
        <w:rPr>
          <w:rFonts w:hint="eastAsia" w:ascii="仿宋" w:hAnsi="仿宋" w:eastAsia="仿宋"/>
          <w:bCs/>
          <w:sz w:val="32"/>
          <w:szCs w:val="32"/>
        </w:rPr>
        <w:t>制定应对各种旅游突发公共事件应急预案，建立多信息预警发布渠道，监督</w:t>
      </w:r>
      <w:r>
        <w:rPr>
          <w:rFonts w:hint="eastAsia" w:ascii="仿宋" w:hAnsi="仿宋" w:eastAsia="仿宋"/>
          <w:bCs/>
          <w:sz w:val="32"/>
          <w:szCs w:val="32"/>
          <w:lang w:val="zh-CN"/>
        </w:rPr>
        <w:t>旅游企业建立健全安全管理制度并有效执行，对特种旅游设施设备、旅游节庆活动等实施安全监管。建立与本地110、120、119等合作</w:t>
      </w:r>
      <w:r>
        <w:rPr>
          <w:rFonts w:hint="eastAsia" w:ascii="仿宋" w:hAnsi="仿宋" w:eastAsia="仿宋"/>
          <w:bCs/>
          <w:sz w:val="32"/>
          <w:szCs w:val="32"/>
        </w:rPr>
        <w:t>的救援体系，旅游企业建立专门救援队伍，与其他专业救援队伍或商业机构开展救援合作，提供全面覆盖且有效理赔的旅游保险产品。全面落实网络意识形态工作责任制，加强对节庆活动、导游讲解等各类活动内容的审核把关。强化旅游、公安、应急管理、交通运输、市场监督等部门的协调配合，建立旅游安全联动综合治理机制。建设基于大数据的旅游风险预警系统。重点实施火灾隐患、旅游包车、高风险旅游项目、文旅场所客流超载等专项整治计划，加强新业态项目安全监管。</w:t>
      </w:r>
    </w:p>
    <w:p>
      <w:pPr>
        <w:spacing w:line="560" w:lineRule="exact"/>
        <w:ind w:firstLine="643" w:firstLineChars="200"/>
        <w:rPr>
          <w:rFonts w:ascii="仿宋" w:hAnsi="仿宋" w:eastAsia="仿宋" w:cs="Times New Roman"/>
          <w:b/>
          <w:kern w:val="0"/>
          <w:sz w:val="32"/>
          <w:szCs w:val="32"/>
          <w:lang w:val="zh-TW"/>
        </w:rPr>
      </w:pPr>
      <w:r>
        <w:rPr>
          <w:rFonts w:hint="eastAsia" w:ascii="仿宋" w:hAnsi="仿宋" w:eastAsia="仿宋" w:cs="Times New Roman"/>
          <w:b/>
          <w:kern w:val="0"/>
          <w:sz w:val="32"/>
          <w:szCs w:val="32"/>
          <w:lang w:val="zh-TW"/>
        </w:rPr>
        <w:t>（</w:t>
      </w:r>
      <w:r>
        <w:rPr>
          <w:rFonts w:hint="eastAsia" w:ascii="仿宋" w:hAnsi="仿宋" w:eastAsia="仿宋" w:cs="Times New Roman"/>
          <w:b/>
          <w:kern w:val="0"/>
          <w:sz w:val="32"/>
          <w:szCs w:val="32"/>
        </w:rPr>
        <w:t>五</w:t>
      </w:r>
      <w:r>
        <w:rPr>
          <w:rFonts w:hint="eastAsia" w:ascii="仿宋" w:hAnsi="仿宋" w:eastAsia="仿宋" w:cs="Times New Roman"/>
          <w:b/>
          <w:kern w:val="0"/>
          <w:sz w:val="32"/>
          <w:szCs w:val="32"/>
          <w:lang w:val="zh-TW"/>
        </w:rPr>
        <w:t>）推进依法治旅</w:t>
      </w:r>
    </w:p>
    <w:p>
      <w:pPr>
        <w:spacing w:line="560" w:lineRule="exact"/>
        <w:ind w:firstLine="640" w:firstLineChars="200"/>
        <w:rPr>
          <w:rFonts w:hint="eastAsia" w:ascii="仿宋" w:hAnsi="仿宋" w:eastAsia="仿宋" w:cs="Times New Roman"/>
          <w:bCs/>
          <w:kern w:val="0"/>
          <w:sz w:val="32"/>
          <w:szCs w:val="32"/>
          <w:lang w:val="zh-CN"/>
        </w:rPr>
      </w:pPr>
      <w:r>
        <w:rPr>
          <w:rFonts w:hint="eastAsia" w:ascii="仿宋" w:hAnsi="仿宋" w:eastAsia="仿宋" w:cs="Times New Roman"/>
          <w:bCs/>
          <w:kern w:val="0"/>
          <w:sz w:val="32"/>
          <w:szCs w:val="32"/>
          <w:lang w:val="zh-CN"/>
        </w:rPr>
        <w:t>贯彻习近平法治思想，深化法治政府建设，推进依法行政，加强法治宣传教育。严厉打击发布虚假广告或不实旅游产品信息等非法旅游经营行为，严厉惩处诱导购物、“零负团费”等严重扰乱旅游市场秩序的违法行为。</w:t>
      </w:r>
    </w:p>
    <w:p>
      <w:pPr>
        <w:pStyle w:val="2"/>
        <w:rPr>
          <w:rFonts w:hint="eastAsia" w:ascii="仿宋" w:hAnsi="仿宋" w:eastAsia="仿宋" w:cs="Times New Roman"/>
          <w:bCs/>
          <w:kern w:val="0"/>
          <w:sz w:val="32"/>
          <w:szCs w:val="32"/>
          <w:lang w:val="zh-CN"/>
        </w:rPr>
      </w:pPr>
    </w:p>
    <w:p>
      <w:pPr>
        <w:pStyle w:val="4"/>
        <w:rPr>
          <w:lang w:val="zh-CN"/>
        </w:rPr>
      </w:pPr>
    </w:p>
    <w:bookmarkEnd w:id="207"/>
    <w:bookmarkEnd w:id="208"/>
    <w:bookmarkEnd w:id="209"/>
    <w:p>
      <w:pPr>
        <w:pStyle w:val="19"/>
        <w:spacing w:before="120" w:after="120" w:line="560" w:lineRule="exact"/>
        <w:rPr>
          <w:rFonts w:ascii="Arial" w:hAnsi="Arial" w:eastAsia="黑体" w:cstheme="minorBidi"/>
          <w:bCs w:val="0"/>
          <w:color w:val="000000" w:themeColor="text1"/>
          <w:sz w:val="40"/>
          <w:szCs w:val="28"/>
          <w14:textFill>
            <w14:solidFill>
              <w14:schemeClr w14:val="tx1"/>
            </w14:solidFill>
          </w14:textFill>
        </w:rPr>
      </w:pPr>
      <w:bookmarkStart w:id="210" w:name="_Toc15549"/>
      <w:r>
        <w:rPr>
          <w:rFonts w:hint="eastAsia" w:ascii="Arial" w:hAnsi="Arial" w:eastAsia="黑体" w:cstheme="minorBidi"/>
          <w:bCs w:val="0"/>
          <w:color w:val="000000" w:themeColor="text1"/>
          <w:sz w:val="40"/>
          <w:szCs w:val="28"/>
          <w14:textFill>
            <w14:solidFill>
              <w14:schemeClr w14:val="tx1"/>
            </w14:solidFill>
          </w14:textFill>
        </w:rPr>
        <w:fldChar w:fldCharType="begin" w:fldLock="1"/>
      </w:r>
      <w:r>
        <w:rPr>
          <w:rFonts w:hint="eastAsia" w:ascii="Arial" w:hAnsi="Arial" w:eastAsia="黑体" w:cstheme="minorBidi"/>
          <w:bCs w:val="0"/>
          <w:color w:val="000000" w:themeColor="text1"/>
          <w:sz w:val="40"/>
          <w:szCs w:val="28"/>
          <w14:textFill>
            <w14:solidFill>
              <w14:schemeClr w14:val="tx1"/>
            </w14:solidFill>
          </w14:textFill>
        </w:rPr>
        <w:instrText xml:space="preserve"> HYPERLINK \l "_Toc18489"</w:instrText>
      </w:r>
      <w:r>
        <w:rPr>
          <w:rFonts w:hint="eastAsia" w:ascii="Arial" w:hAnsi="Arial" w:eastAsia="黑体" w:cstheme="minorBidi"/>
          <w:bCs w:val="0"/>
          <w:color w:val="000000" w:themeColor="text1"/>
          <w:sz w:val="40"/>
          <w:szCs w:val="28"/>
          <w14:textFill>
            <w14:solidFill>
              <w14:schemeClr w14:val="tx1"/>
            </w14:solidFill>
          </w14:textFill>
        </w:rPr>
        <w:fldChar w:fldCharType="separate"/>
      </w:r>
      <w:bookmarkStart w:id="211" w:name="_Toc85036123"/>
      <w:r>
        <w:rPr>
          <w:rFonts w:hint="eastAsia" w:ascii="Arial" w:hAnsi="Arial" w:eastAsia="黑体" w:cstheme="minorBidi"/>
          <w:bCs w:val="0"/>
          <w:color w:val="000000" w:themeColor="text1"/>
          <w:sz w:val="40"/>
          <w:szCs w:val="28"/>
          <w14:textFill>
            <w14:solidFill>
              <w14:schemeClr w14:val="tx1"/>
            </w14:solidFill>
          </w14:textFill>
        </w:rPr>
        <w:t>第五章  保障体系</w:t>
      </w:r>
      <w:bookmarkEnd w:id="211"/>
      <w:r>
        <w:rPr>
          <w:rFonts w:hint="eastAsia" w:ascii="Arial" w:hAnsi="Arial" w:eastAsia="黑体" w:cstheme="minorBidi"/>
          <w:bCs w:val="0"/>
          <w:color w:val="000000" w:themeColor="text1"/>
          <w:sz w:val="40"/>
          <w:szCs w:val="28"/>
          <w14:textFill>
            <w14:solidFill>
              <w14:schemeClr w14:val="tx1"/>
            </w14:solidFill>
          </w14:textFill>
        </w:rPr>
        <w:fldChar w:fldCharType="end"/>
      </w:r>
      <w:bookmarkEnd w:id="210"/>
    </w:p>
    <w:p>
      <w:bookmarkStart w:id="212" w:name="_Toc22226"/>
    </w:p>
    <w:p>
      <w:pPr>
        <w:pStyle w:val="8"/>
        <w:spacing w:before="140" w:after="140"/>
        <w:rPr>
          <w:rFonts w:ascii="Times New Roman" w:hAnsi="Times New Roman" w:eastAsia="宋体" w:cs="Times New Roman"/>
          <w:color w:val="000000" w:themeColor="text1"/>
          <w14:textFill>
            <w14:solidFill>
              <w14:schemeClr w14:val="tx1"/>
            </w14:solidFill>
          </w14:textFill>
        </w:rPr>
      </w:pPr>
      <w:bookmarkStart w:id="213" w:name="_Toc85036124"/>
      <w:r>
        <w:rPr>
          <w:rFonts w:hint="eastAsia" w:ascii="Times New Roman" w:hAnsi="Times New Roman" w:eastAsia="宋体" w:cs="Times New Roman"/>
          <w:color w:val="000000" w:themeColor="text1"/>
          <w14:textFill>
            <w14:solidFill>
              <w14:schemeClr w14:val="tx1"/>
            </w14:solidFill>
          </w14:textFill>
        </w:rPr>
        <w:t>一、政策保障</w:t>
      </w:r>
      <w:bookmarkEnd w:id="212"/>
      <w:bookmarkEnd w:id="213"/>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（一）财政支持政策</w:t>
      </w:r>
    </w:p>
    <w:p>
      <w:pPr>
        <w:pStyle w:val="26"/>
        <w:tabs>
          <w:tab w:val="right" w:leader="dot" w:pos="8300"/>
        </w:tabs>
        <w:spacing w:line="560" w:lineRule="exact"/>
        <w:ind w:firstLine="640" w:firstLineChars="200"/>
        <w:rPr>
          <w:rFonts w:ascii="仿宋" w:hAnsi="仿宋" w:eastAsia="仿宋"/>
          <w:bCs/>
          <w:sz w:val="32"/>
          <w:szCs w:val="32"/>
        </w:rPr>
      </w:pPr>
      <w:r>
        <w:rPr>
          <w:rFonts w:hint="eastAsia" w:ascii="仿宋" w:hAnsi="仿宋" w:eastAsia="仿宋"/>
          <w:bCs/>
          <w:sz w:val="32"/>
          <w:szCs w:val="32"/>
        </w:rPr>
        <w:t>加大财政投入力度，逐步增加旅游专项资金规模，完善资金扶持政策和方式，提升资金使用效益。修订旅游专项资金管理办法，加大对旅游形象宣传、品牌创建、游客招徕、住宿补贴、开放式景区补贴等奖补力度，形成鲜明的政策导向。积极探索成立文旅发展基金。各市区从实际出发，因地制宜制定完善财政支持政策，落实好税收优惠政策。</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（二）土地供给政策</w:t>
      </w:r>
    </w:p>
    <w:p>
      <w:pPr>
        <w:spacing w:line="560" w:lineRule="exact"/>
        <w:ind w:firstLine="640" w:firstLineChars="200"/>
        <w:rPr>
          <w:rFonts w:ascii="仿宋" w:hAnsi="仿宋" w:eastAsia="仿宋" w:cs="Times New Roman"/>
          <w:bCs/>
          <w:kern w:val="0"/>
          <w:sz w:val="32"/>
          <w:szCs w:val="32"/>
          <w:lang w:val="zh-CN"/>
        </w:rPr>
      </w:pPr>
      <w:r>
        <w:rPr>
          <w:rFonts w:hint="eastAsia" w:ascii="仿宋" w:hAnsi="仿宋" w:eastAsia="仿宋" w:cs="Times New Roman"/>
          <w:bCs/>
          <w:kern w:val="0"/>
          <w:sz w:val="32"/>
          <w:szCs w:val="32"/>
          <w:lang w:val="zh-CN"/>
        </w:rPr>
        <w:t>强化规划引导和用地空间保障，将旅游项目新增用地需求纳入国土空间规划，落实用地指标。支持盘活利用存量工业用地，鼓励农村集体经济组织利用闲置宅基地和闲置住宅依法依规发展旅游业，推动用地向国家和省级重大项目、优质项目倾斜，优先安排重点旅游项目特别是国家</w:t>
      </w:r>
      <w:r>
        <w:rPr>
          <w:rFonts w:hint="eastAsia" w:ascii="仿宋" w:hAnsi="仿宋" w:eastAsia="仿宋" w:cs="Times New Roman"/>
          <w:bCs/>
          <w:kern w:val="0"/>
          <w:sz w:val="32"/>
          <w:szCs w:val="32"/>
        </w:rPr>
        <w:t>5A级</w:t>
      </w:r>
      <w:r>
        <w:rPr>
          <w:rFonts w:hint="eastAsia" w:ascii="仿宋" w:hAnsi="仿宋" w:eastAsia="仿宋" w:cs="Times New Roman"/>
          <w:bCs/>
          <w:kern w:val="0"/>
          <w:sz w:val="32"/>
          <w:szCs w:val="32"/>
          <w:lang w:val="zh-CN"/>
        </w:rPr>
        <w:t>旅游景区和国家级旅游度假区创建单位点供用地指标。</w:t>
      </w:r>
    </w:p>
    <w:p>
      <w:pPr>
        <w:spacing w:line="560" w:lineRule="exact"/>
        <w:ind w:firstLine="643" w:firstLineChars="200"/>
        <w:rPr>
          <w:rFonts w:ascii="仿宋" w:hAnsi="仿宋" w:eastAsia="仿宋" w:cs="Times New Roman"/>
          <w:b/>
          <w:kern w:val="0"/>
          <w:sz w:val="32"/>
          <w:szCs w:val="32"/>
        </w:rPr>
      </w:pPr>
      <w:r>
        <w:rPr>
          <w:rFonts w:hint="eastAsia" w:ascii="仿宋" w:hAnsi="仿宋" w:eastAsia="仿宋" w:cs="Times New Roman"/>
          <w:b/>
          <w:kern w:val="0"/>
          <w:sz w:val="32"/>
          <w:szCs w:val="32"/>
        </w:rPr>
        <w:t>（三）金融服务政策</w:t>
      </w:r>
    </w:p>
    <w:p>
      <w:pPr>
        <w:pStyle w:val="26"/>
        <w:tabs>
          <w:tab w:val="right" w:leader="dot" w:pos="8300"/>
        </w:tabs>
        <w:spacing w:line="560" w:lineRule="exact"/>
        <w:ind w:firstLine="640" w:firstLineChars="200"/>
        <w:jc w:val="both"/>
        <w:rPr>
          <w:rFonts w:ascii="仿宋" w:hAnsi="仿宋" w:eastAsia="仿宋"/>
          <w:bCs/>
          <w:sz w:val="32"/>
          <w:szCs w:val="32"/>
        </w:rPr>
      </w:pPr>
      <w:r>
        <w:rPr>
          <w:rFonts w:hint="eastAsia" w:ascii="仿宋" w:hAnsi="仿宋" w:eastAsia="仿宋"/>
          <w:bCs/>
          <w:sz w:val="32"/>
          <w:szCs w:val="32"/>
        </w:rPr>
        <w:t>鼓励金融机构加大对旅游企业和乡村旅游的信贷支持力度。充分发挥银行、证券、保险、基金等机构在创新旅游金融产品和服务方面的作用，拓宽旅游企业投融资渠道，探索开展旅游景区经营权、门票收入权质押以及旅游企业建设用地使用权、林权抵押等贷款业务。支持有条件的企业通过发行债券、股权转让、风险投资、PPP等方式融资。加强与金融机构的合作，推进改善旅游消费支付便利性、丰富消费信贷产品等工作。</w:t>
      </w:r>
    </w:p>
    <w:p>
      <w:pPr>
        <w:pStyle w:val="8"/>
        <w:spacing w:before="140" w:after="140"/>
        <w:rPr>
          <w:rFonts w:ascii="Times New Roman" w:hAnsi="Times New Roman" w:eastAsia="宋体" w:cs="Times New Roman"/>
          <w:color w:val="000000" w:themeColor="text1"/>
          <w14:textFill>
            <w14:solidFill>
              <w14:schemeClr w14:val="tx1"/>
            </w14:solidFill>
          </w14:textFill>
        </w:rPr>
      </w:pPr>
      <w:bookmarkStart w:id="214" w:name="_Toc28337"/>
      <w:bookmarkStart w:id="215" w:name="_Toc85036125"/>
      <w:r>
        <w:rPr>
          <w:rFonts w:hint="eastAsia" w:ascii="Times New Roman" w:hAnsi="Times New Roman" w:eastAsia="宋体" w:cs="Times New Roman"/>
          <w:color w:val="000000" w:themeColor="text1"/>
          <w14:textFill>
            <w14:solidFill>
              <w14:schemeClr w14:val="tx1"/>
            </w14:solidFill>
          </w14:textFill>
        </w:rPr>
        <w:t>二、机制保障</w:t>
      </w:r>
      <w:bookmarkEnd w:id="214"/>
      <w:bookmarkEnd w:id="215"/>
    </w:p>
    <w:p>
      <w:pPr>
        <w:pStyle w:val="26"/>
        <w:tabs>
          <w:tab w:val="right" w:leader="dot" w:pos="8300"/>
        </w:tabs>
        <w:spacing w:line="560" w:lineRule="exact"/>
        <w:ind w:firstLine="640" w:firstLineChars="200"/>
        <w:jc w:val="both"/>
        <w:rPr>
          <w:rFonts w:ascii="仿宋" w:hAnsi="仿宋" w:eastAsia="仿宋"/>
          <w:bCs/>
          <w:sz w:val="32"/>
          <w:szCs w:val="32"/>
        </w:rPr>
      </w:pPr>
      <w:bookmarkStart w:id="216" w:name="_Toc9955"/>
      <w:bookmarkStart w:id="217" w:name="_Toc30255"/>
      <w:bookmarkStart w:id="218" w:name="_Toc14591"/>
      <w:bookmarkStart w:id="219" w:name="_Toc2524"/>
      <w:bookmarkStart w:id="220" w:name="_Toc18646"/>
      <w:bookmarkStart w:id="221" w:name="_Toc29164"/>
      <w:r>
        <w:rPr>
          <w:rFonts w:hint="eastAsia" w:ascii="仿宋" w:hAnsi="仿宋" w:eastAsia="仿宋"/>
          <w:bCs/>
          <w:sz w:val="32"/>
          <w:szCs w:val="32"/>
        </w:rPr>
        <w:t>建立旅游定期联席会议机制，统筹协调泰州旅游产业发展；各相关部门按照各自职能和任务分工，各司其职，密切配合，形成推动旅游发展的强大合力；鼓励各市区成立地方文旅平台，与泰州市文旅集团合作，形成旅游项目开发运营创新驱动发展强大合力。</w:t>
      </w:r>
      <w:bookmarkEnd w:id="216"/>
      <w:bookmarkEnd w:id="217"/>
      <w:bookmarkEnd w:id="218"/>
      <w:bookmarkEnd w:id="219"/>
      <w:bookmarkEnd w:id="220"/>
    </w:p>
    <w:p>
      <w:pPr>
        <w:pStyle w:val="8"/>
        <w:spacing w:before="140" w:after="140"/>
        <w:rPr>
          <w:rFonts w:ascii="Times New Roman" w:hAnsi="Times New Roman" w:eastAsia="宋体" w:cs="Times New Roman"/>
          <w:color w:val="000000" w:themeColor="text1"/>
          <w14:textFill>
            <w14:solidFill>
              <w14:schemeClr w14:val="tx1"/>
            </w14:solidFill>
          </w14:textFill>
        </w:rPr>
      </w:pPr>
      <w:bookmarkStart w:id="222" w:name="_Toc85036126"/>
      <w:r>
        <w:rPr>
          <w:rFonts w:hint="eastAsia" w:ascii="Times New Roman" w:hAnsi="Times New Roman" w:eastAsia="宋体" w:cs="Times New Roman"/>
          <w:color w:val="000000" w:themeColor="text1"/>
          <w14:textFill>
            <w14:solidFill>
              <w14:schemeClr w14:val="tx1"/>
            </w14:solidFill>
          </w14:textFill>
        </w:rPr>
        <w:t>三、人才保障</w:t>
      </w:r>
      <w:bookmarkEnd w:id="221"/>
      <w:bookmarkEnd w:id="222"/>
    </w:p>
    <w:p>
      <w:pPr>
        <w:pStyle w:val="26"/>
        <w:tabs>
          <w:tab w:val="right" w:leader="dot" w:pos="8300"/>
        </w:tabs>
        <w:spacing w:line="560" w:lineRule="exact"/>
        <w:ind w:firstLine="640" w:firstLineChars="200"/>
        <w:jc w:val="both"/>
        <w:rPr>
          <w:rFonts w:ascii="仿宋" w:hAnsi="仿宋" w:eastAsia="仿宋"/>
          <w:bCs/>
          <w:sz w:val="32"/>
          <w:szCs w:val="32"/>
        </w:rPr>
      </w:pPr>
      <w:bookmarkStart w:id="223" w:name="_Toc20517"/>
      <w:r>
        <w:rPr>
          <w:rFonts w:hint="eastAsia" w:ascii="仿宋" w:hAnsi="仿宋" w:eastAsia="仿宋"/>
          <w:bCs/>
          <w:sz w:val="32"/>
          <w:szCs w:val="32"/>
        </w:rPr>
        <w:t>加强旅游人才引进，出台高端旅游人才引进优惠政策，设立旅游人才专项资金，着力引进国际旅游服务、旅游市场营销、旅游产品开发设计等各类旅游业高层次人才。加强本土旅游人才培养，依托泰州涉旅院校旅游专业教育资源，扎实开展旅游职业教育，培养多层次旅游人才。建立旅游咨询专家库，设立市旅游发展专家咨询委员会。开展全员培训，每年选送一定数量的市（区）旅游行政部门负责人、基层分管旅游的党政领导干部和旅游业相关企事业单位人员到省内外知名高校和旅游业较发达地区学习考察和研修，每年对景区从业人员、乡村旅游经营者、导游等旅游从业人员开展大规模线上线下实务职业培训。实施旅游服务外包，适时引进第三方服务团队开展旅游资源和旅游产品的创意、设计、策划、包装、营销等。</w:t>
      </w:r>
    </w:p>
    <w:p>
      <w:pPr>
        <w:pStyle w:val="8"/>
        <w:spacing w:before="140" w:after="140"/>
        <w:rPr>
          <w:rFonts w:ascii="Times New Roman" w:hAnsi="Times New Roman" w:eastAsia="宋体" w:cs="Times New Roman"/>
          <w:color w:val="000000" w:themeColor="text1"/>
          <w14:textFill>
            <w14:solidFill>
              <w14:schemeClr w14:val="tx1"/>
            </w14:solidFill>
          </w14:textFill>
        </w:rPr>
      </w:pPr>
      <w:bookmarkStart w:id="224" w:name="_Toc85036127"/>
      <w:r>
        <w:rPr>
          <w:rFonts w:hint="eastAsia" w:ascii="Times New Roman" w:hAnsi="Times New Roman" w:eastAsia="宋体" w:cs="Times New Roman"/>
          <w:color w:val="000000" w:themeColor="text1"/>
          <w14:textFill>
            <w14:solidFill>
              <w14:schemeClr w14:val="tx1"/>
            </w14:solidFill>
          </w14:textFill>
        </w:rPr>
        <w:t>四、实施保障</w:t>
      </w:r>
      <w:bookmarkEnd w:id="223"/>
      <w:bookmarkEnd w:id="224"/>
    </w:p>
    <w:p>
      <w:pPr>
        <w:pStyle w:val="26"/>
        <w:tabs>
          <w:tab w:val="right" w:leader="dot" w:pos="8300"/>
        </w:tabs>
        <w:spacing w:line="560" w:lineRule="exact"/>
        <w:ind w:firstLine="640" w:firstLineChars="200"/>
        <w:rPr>
          <w:rFonts w:ascii="仿宋" w:hAnsi="仿宋" w:eastAsia="仿宋"/>
          <w:bCs/>
          <w:sz w:val="32"/>
          <w:szCs w:val="32"/>
        </w:rPr>
      </w:pPr>
      <w:r>
        <w:rPr>
          <w:rFonts w:hint="eastAsia" w:ascii="仿宋" w:hAnsi="仿宋" w:eastAsia="仿宋"/>
          <w:bCs/>
          <w:sz w:val="32"/>
          <w:szCs w:val="32"/>
          <w:lang w:val="zh-CN"/>
        </w:rPr>
        <w:t>加强部门协调和上下联动，明确规划实施责任，认真贯彻实施本规划。加强规划监测评估、考核评价和</w:t>
      </w:r>
      <w:r>
        <w:rPr>
          <w:rFonts w:hint="eastAsia" w:ascii="仿宋" w:hAnsi="仿宋" w:eastAsia="仿宋"/>
          <w:bCs/>
          <w:sz w:val="32"/>
          <w:szCs w:val="32"/>
        </w:rPr>
        <w:t>跟踪督查</w:t>
      </w:r>
      <w:r>
        <w:rPr>
          <w:rFonts w:hint="eastAsia" w:ascii="仿宋" w:hAnsi="仿宋" w:eastAsia="仿宋"/>
          <w:bCs/>
          <w:sz w:val="32"/>
          <w:szCs w:val="32"/>
          <w:lang w:val="zh-CN"/>
        </w:rPr>
        <w:t>，开展实施情况年度监测分析、中期评估和总结评估，及时总结宣传推广先进典型和经验做法，推动规划各项任务落实落细落地。</w:t>
      </w:r>
    </w:p>
    <w:p>
      <w:pPr>
        <w:pStyle w:val="26"/>
        <w:tabs>
          <w:tab w:val="right" w:leader="dot" w:pos="8300"/>
        </w:tabs>
        <w:spacing w:line="560" w:lineRule="exact"/>
        <w:ind w:firstLine="600" w:firstLineChars="200"/>
        <w:rPr>
          <w:rFonts w:ascii="仿宋" w:hAnsi="仿宋" w:eastAsia="仿宋"/>
          <w:bCs/>
          <w:sz w:val="30"/>
          <w:szCs w:val="30"/>
        </w:rPr>
      </w:pPr>
      <w:r>
        <w:rPr>
          <w:rFonts w:hint="eastAsia" w:ascii="仿宋" w:hAnsi="仿宋" w:eastAsia="仿宋"/>
          <w:bCs/>
          <w:sz w:val="30"/>
          <w:szCs w:val="30"/>
        </w:rPr>
        <w:br w:type="page"/>
      </w:r>
    </w:p>
    <w:p>
      <w:pPr>
        <w:pStyle w:val="19"/>
        <w:spacing w:before="120" w:after="120" w:line="560" w:lineRule="exact"/>
        <w:jc w:val="left"/>
        <w:rPr>
          <w:rFonts w:ascii="Arial" w:hAnsi="Arial" w:eastAsia="黑体" w:cstheme="minorBidi"/>
          <w:bCs w:val="0"/>
          <w:color w:val="000000" w:themeColor="text1"/>
          <w:sz w:val="40"/>
          <w:szCs w:val="28"/>
          <w14:textFill>
            <w14:solidFill>
              <w14:schemeClr w14:val="tx1"/>
            </w14:solidFill>
          </w14:textFill>
        </w:rPr>
      </w:pPr>
      <w:bookmarkStart w:id="225" w:name="_Toc85036128"/>
      <w:r>
        <w:rPr>
          <w:rFonts w:hint="eastAsia" w:ascii="Arial" w:hAnsi="Arial" w:eastAsia="黑体" w:cstheme="minorBidi"/>
          <w:bCs w:val="0"/>
          <w:color w:val="000000" w:themeColor="text1"/>
          <w:sz w:val="40"/>
          <w:szCs w:val="28"/>
          <w14:textFill>
            <w14:solidFill>
              <w14:schemeClr w14:val="tx1"/>
            </w14:solidFill>
          </w14:textFill>
        </w:rPr>
        <w:t>附：“十四五”旅游项目一览</w:t>
      </w:r>
      <w:bookmarkEnd w:id="225"/>
    </w:p>
    <w:tbl>
      <w:tblPr>
        <w:tblStyle w:val="20"/>
        <w:tblpPr w:leftFromText="180" w:rightFromText="180" w:vertAnchor="text" w:horzAnchor="page" w:tblpX="1231" w:tblpY="653"/>
        <w:tblOverlap w:val="never"/>
        <w:tblW w:w="5788" w:type="pct"/>
        <w:tblInd w:w="0" w:type="dxa"/>
        <w:tblLayout w:type="fixed"/>
        <w:tblCellMar>
          <w:top w:w="0" w:type="dxa"/>
          <w:left w:w="0" w:type="dxa"/>
          <w:bottom w:w="0" w:type="dxa"/>
          <w:right w:w="0" w:type="dxa"/>
        </w:tblCellMar>
      </w:tblPr>
      <w:tblGrid>
        <w:gridCol w:w="866"/>
        <w:gridCol w:w="590"/>
        <w:gridCol w:w="1680"/>
        <w:gridCol w:w="1957"/>
        <w:gridCol w:w="4550"/>
      </w:tblGrid>
      <w:tr>
        <w:tblPrEx>
          <w:tblCellMar>
            <w:top w:w="0" w:type="dxa"/>
            <w:left w:w="0" w:type="dxa"/>
            <w:bottom w:w="0" w:type="dxa"/>
            <w:right w:w="0" w:type="dxa"/>
          </w:tblCellMar>
        </w:tblPrEx>
        <w:trPr>
          <w:trHeight w:val="270" w:hRule="atLeast"/>
        </w:trPr>
        <w:tc>
          <w:tcPr>
            <w:tcW w:w="449"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类别</w:t>
            </w: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序号</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 xml:space="preserve"> 名称</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“十四五”目标</w:t>
            </w:r>
          </w:p>
        </w:tc>
        <w:tc>
          <w:tcPr>
            <w:tcW w:w="2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建设内容</w:t>
            </w:r>
          </w:p>
        </w:tc>
      </w:tr>
      <w:tr>
        <w:tblPrEx>
          <w:tblCellMar>
            <w:top w:w="0" w:type="dxa"/>
            <w:left w:w="0" w:type="dxa"/>
            <w:bottom w:w="0" w:type="dxa"/>
            <w:right w:w="0" w:type="dxa"/>
          </w:tblCellMar>
        </w:tblPrEx>
        <w:trPr>
          <w:trHeight w:val="1344" w:hRule="atLeast"/>
        </w:trPr>
        <w:tc>
          <w:tcPr>
            <w:tcW w:w="449" w:type="pct"/>
            <w:vMerge w:val="restart"/>
            <w:tcBorders>
              <w:top w:val="single" w:color="000000" w:sz="4" w:space="0"/>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重点</w:t>
            </w:r>
          </w:p>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项目</w:t>
            </w: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1</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海军主题文化园</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泰州城市记忆与海军文化新地标、爱国主义教育基地新示范</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在园区内整体开发军事互动科技娱乐体验、国防教育红色研学、军事类文创产品、演艺影视、配套商业、康养等项目。</w:t>
            </w:r>
          </w:p>
        </w:tc>
      </w:tr>
      <w:tr>
        <w:tblPrEx>
          <w:tblCellMar>
            <w:top w:w="0" w:type="dxa"/>
            <w:left w:w="0" w:type="dxa"/>
            <w:bottom w:w="0" w:type="dxa"/>
            <w:right w:w="0" w:type="dxa"/>
          </w:tblCellMar>
        </w:tblPrEx>
        <w:trPr>
          <w:trHeight w:val="1366"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2</w:t>
            </w:r>
          </w:p>
        </w:tc>
        <w:tc>
          <w:tcPr>
            <w:tcW w:w="87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中国健康城</w:t>
            </w:r>
          </w:p>
        </w:tc>
        <w:tc>
          <w:tcPr>
            <w:tcW w:w="101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“江苏省首选、长三角一流、国内知名”的健康旅游目的地，泰州市大健康产业重要支撑</w:t>
            </w:r>
          </w:p>
        </w:tc>
        <w:tc>
          <w:tcPr>
            <w:tcW w:w="235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建设国家中医药健康旅游示范区，加强旅游景区与中医药资源的融合，将“医疗”、“康养”与“旅游”相互渗透，构建完善的康养旅游产品体系。持续举办中医养生节、膏方节等活动，创新以促进中医药健康旅游发展和中医文化传播为目的的健康旅游发展模式。</w:t>
            </w:r>
          </w:p>
        </w:tc>
      </w:tr>
      <w:tr>
        <w:tblPrEx>
          <w:tblCellMar>
            <w:top w:w="0" w:type="dxa"/>
            <w:left w:w="0" w:type="dxa"/>
            <w:bottom w:w="0" w:type="dxa"/>
            <w:right w:w="0" w:type="dxa"/>
          </w:tblCellMar>
        </w:tblPrEx>
        <w:trPr>
          <w:trHeight w:val="453"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3</w:t>
            </w:r>
          </w:p>
        </w:tc>
        <w:tc>
          <w:tcPr>
            <w:tcW w:w="87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凤城河景区（两岸公共空间贯通及建设工程）</w:t>
            </w:r>
          </w:p>
        </w:tc>
        <w:tc>
          <w:tcPr>
            <w:tcW w:w="1015"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达到国家5A级旅游景区标准，国家级夜间文旅消费集聚区，中国最美城河和城河旅游开发的标杆</w:t>
            </w:r>
          </w:p>
        </w:tc>
        <w:tc>
          <w:tcPr>
            <w:tcW w:w="235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城河两岸生态修复，包括绿植、护坡，排放设施的改造建设；城河两岸空间塑造，根据现有的空间形态，建筑设施进行科学合理布局与调整；继续对城河两岸历史文化和城市风情进行研究、挖掘放大；在城河两岸研究、布点时尚的城市商业文化健身娱乐场所；设立综合观光服务设施。</w:t>
            </w:r>
          </w:p>
        </w:tc>
      </w:tr>
      <w:tr>
        <w:tblPrEx>
          <w:tblCellMar>
            <w:top w:w="0" w:type="dxa"/>
            <w:left w:w="0" w:type="dxa"/>
            <w:bottom w:w="0" w:type="dxa"/>
            <w:right w:w="0" w:type="dxa"/>
          </w:tblCellMar>
        </w:tblPrEx>
        <w:trPr>
          <w:trHeight w:val="162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4</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溱湖风景区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达到国家级旅游度假区标准</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依托溱湖湿地公园、溱潼古镇、泰州华侨城三大景点建设，推动溱湖创建国家级旅游度假区全力打造姜堰大健康旅游生态板块。推进溱湖国家湿地公园综合提升工程，溱湖环湖公路等重点旅游项目建设，以溱湖大健康产业园为载体，招引建设健康、保健、医疗、养老等项目。</w:t>
            </w:r>
          </w:p>
        </w:tc>
      </w:tr>
      <w:tr>
        <w:tblPrEx>
          <w:tblCellMar>
            <w:top w:w="0" w:type="dxa"/>
            <w:left w:w="0" w:type="dxa"/>
            <w:bottom w:w="0" w:type="dxa"/>
            <w:right w:w="0" w:type="dxa"/>
          </w:tblCellMar>
        </w:tblPrEx>
        <w:trPr>
          <w:trHeight w:val="135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5</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秋雪湖生态景区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江苏省生态旅游示范区</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以现代农业为主体，突出农业科技，建立农耕体验馆、农耕体验项目，展示农业劳作史，将农耕文化编制成册，编成顺口民谣，打响农耕文化品牌。依托国际写作中心，积极举办各种写作交流活动，发展研学、会展旅游。</w:t>
            </w:r>
          </w:p>
        </w:tc>
      </w:tr>
      <w:tr>
        <w:tblPrEx>
          <w:tblCellMar>
            <w:top w:w="0" w:type="dxa"/>
            <w:left w:w="0" w:type="dxa"/>
            <w:bottom w:w="0" w:type="dxa"/>
            <w:right w:w="0" w:type="dxa"/>
          </w:tblCellMar>
        </w:tblPrEx>
        <w:trPr>
          <w:trHeight w:val="216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6</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泰州乡村旅游康养产业综合体</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国家文化和旅游融合发展示范区</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依托凤城河景区为中心，整合东湖（溱湖、溱湖绿洲、小杨人家等）西河（里下河）、垛花菜花、水上森林、南果（逸夏果园、宣堡银杏等）北草（薰衣草、罡杨村、农业产业园），全面布局泰州康养旅游产业，同时，结合泰州“国家中医药健康旅游示范区”建设，联动泰州各大中医药种植基地，做大做强泰州康养产业。</w:t>
            </w:r>
          </w:p>
        </w:tc>
      </w:tr>
      <w:tr>
        <w:tblPrEx>
          <w:tblCellMar>
            <w:top w:w="0" w:type="dxa"/>
            <w:left w:w="0" w:type="dxa"/>
            <w:bottom w:w="0" w:type="dxa"/>
            <w:right w:w="0" w:type="dxa"/>
          </w:tblCellMar>
        </w:tblPrEx>
        <w:trPr>
          <w:trHeight w:val="192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7</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白马湖郊野公园</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泰州高铁新城后花园</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结合泰州高铁站，联动天德湖、天禄湖，共同打造泰州城南的城市公园集群。</w:t>
            </w:r>
          </w:p>
        </w:tc>
      </w:tr>
      <w:tr>
        <w:tblPrEx>
          <w:tblCellMar>
            <w:top w:w="0" w:type="dxa"/>
            <w:left w:w="0" w:type="dxa"/>
            <w:bottom w:w="0" w:type="dxa"/>
            <w:right w:w="0" w:type="dxa"/>
          </w:tblCellMar>
        </w:tblPrEx>
        <w:trPr>
          <w:trHeight w:val="1221"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8</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雕花楼景区二期</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国家4A级景区，省级夜间文旅消费集聚区</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规划占地面积约100亩，建筑面积约为7.3万平方米，打造集文化休闲、生态康养、体育运动、宗教体验等为一体的综合性文化公园。</w:t>
            </w:r>
          </w:p>
        </w:tc>
      </w:tr>
      <w:tr>
        <w:tblPrEx>
          <w:tblCellMar>
            <w:top w:w="0" w:type="dxa"/>
            <w:left w:w="0" w:type="dxa"/>
            <w:bottom w:w="0" w:type="dxa"/>
            <w:right w:w="0" w:type="dxa"/>
          </w:tblCellMar>
        </w:tblPrEx>
        <w:trPr>
          <w:trHeight w:val="114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9</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泰州戏曲基地</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泰州市梅兰芳戏曲文化集散中心，全国性的梅兰芳文化体验目的地</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深挖梅兰芳戏曲文化这一泰州市文化品牌强点，通过与梅兰芳艺术节相辅相成，一体化地打造梅兰芳戏曲文化基地。将梅兰芳和梅兰芳戏曲文化感受升级为实景体验，以戏曲文化为核心，在基地的食住行游购娱等旅游要素都注入梅兰芳戏曲文化元素，并在基地开展多方位的旅游观赏和文化体验活动。</w:t>
            </w:r>
          </w:p>
        </w:tc>
      </w:tr>
      <w:tr>
        <w:tblPrEx>
          <w:tblCellMar>
            <w:top w:w="0" w:type="dxa"/>
            <w:left w:w="0" w:type="dxa"/>
            <w:bottom w:w="0" w:type="dxa"/>
            <w:right w:w="0" w:type="dxa"/>
          </w:tblCellMar>
        </w:tblPrEx>
        <w:trPr>
          <w:trHeight w:val="114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10</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泰来面粉厂工业遗址文化复兴项目</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泰州城市文旅形象的新名片，国家工业遗存创新示范地</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拟依托泰州国家历史文化名城，城市双修建设、保护传统格局和肌理，重点保护、渐进式更新改造厂房，融合戏曲文化、泰州医药、泰州学派等重要要素，打造工业遗址与时代风貌并存的文旅新担当。</w:t>
            </w:r>
          </w:p>
        </w:tc>
      </w:tr>
      <w:tr>
        <w:tblPrEx>
          <w:tblCellMar>
            <w:top w:w="0" w:type="dxa"/>
            <w:left w:w="0" w:type="dxa"/>
            <w:bottom w:w="0" w:type="dxa"/>
            <w:right w:w="0" w:type="dxa"/>
          </w:tblCellMar>
        </w:tblPrEx>
        <w:trPr>
          <w:trHeight w:val="1273" w:hRule="atLeast"/>
        </w:trPr>
        <w:tc>
          <w:tcPr>
            <w:tcW w:w="449" w:type="pct"/>
            <w:vMerge w:val="restart"/>
            <w:tcBorders>
              <w:top w:val="single" w:color="000000" w:sz="4" w:space="0"/>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一般</w:t>
            </w:r>
          </w:p>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项目</w:t>
            </w: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11</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智力竞技产业基地</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全国性智力竞技赛事基地，国家级智力竞技人才培训基地</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按照产业带动商业、商业带动周边思路开发建设智力经济产业及商业12万方和15万方的生活配套设施，建成产业综合体、产业孵化基地，并配建一批产业文化设施和配套生活区。</w:t>
            </w:r>
          </w:p>
        </w:tc>
      </w:tr>
      <w:tr>
        <w:tblPrEx>
          <w:tblCellMar>
            <w:top w:w="0" w:type="dxa"/>
            <w:left w:w="0" w:type="dxa"/>
            <w:bottom w:w="0" w:type="dxa"/>
            <w:right w:w="0" w:type="dxa"/>
          </w:tblCellMar>
        </w:tblPrEx>
        <w:trPr>
          <w:trHeight w:val="1273" w:hRule="atLeast"/>
        </w:trPr>
        <w:tc>
          <w:tcPr>
            <w:tcW w:w="449" w:type="pct"/>
            <w:vMerge w:val="continue"/>
            <w:tcBorders>
              <w:top w:val="single" w:color="000000" w:sz="4" w:space="0"/>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12</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稻河景区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国家级夜间文旅消费集聚区</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保护城市历史文化遗产，塑造城市特色文化名片；完善与提升市政与公共服务设施；改善与整合片区动线与周边交通，重塑与打造两河景观风光带，将稻河景区打造成展示泰州历史名城、文化名城的重要窗口、长三角地区的优质旅游目的地，打响“最泰州”旅游品牌。</w:t>
            </w:r>
          </w:p>
        </w:tc>
      </w:tr>
      <w:tr>
        <w:tblPrEx>
          <w:tblCellMar>
            <w:top w:w="0" w:type="dxa"/>
            <w:left w:w="0" w:type="dxa"/>
            <w:bottom w:w="0" w:type="dxa"/>
            <w:right w:w="0" w:type="dxa"/>
          </w:tblCellMar>
        </w:tblPrEx>
        <w:trPr>
          <w:trHeight w:val="1128"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13</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八字桥特色风貌街区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泰州市特色旅游街区，文化旅游新亮点</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对八字街区进行城市双修，完善基础设施，对外立面进行改造，修缮相关历史文化场所，对街区风貌进行整治。</w:t>
            </w:r>
          </w:p>
        </w:tc>
      </w:tr>
      <w:tr>
        <w:tblPrEx>
          <w:tblCellMar>
            <w:top w:w="0" w:type="dxa"/>
            <w:left w:w="0" w:type="dxa"/>
            <w:bottom w:w="0" w:type="dxa"/>
            <w:right w:w="0" w:type="dxa"/>
          </w:tblCellMar>
        </w:tblPrEx>
        <w:trPr>
          <w:trHeight w:val="1458"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14</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 xml:space="preserve">健康产业园 </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靖江智能制造、科技创新、健康体验、教育培训和康养特色旅游基地</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以工业4.0为标准，以高端制造为引领，建设具有现代工业的透明化工厂；以产品+服务的模式，把产业园打造为智能制造、健康科普、健康管理、健康体验、工业旅游、互联网医疗的综合品台。</w:t>
            </w:r>
          </w:p>
        </w:tc>
      </w:tr>
      <w:tr>
        <w:tblPrEx>
          <w:tblCellMar>
            <w:top w:w="0" w:type="dxa"/>
            <w:left w:w="0" w:type="dxa"/>
            <w:bottom w:w="0" w:type="dxa"/>
            <w:right w:w="0" w:type="dxa"/>
          </w:tblCellMar>
        </w:tblPrEx>
        <w:trPr>
          <w:trHeight w:val="186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15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古盐运河文化广场</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江苏省文旅融合新亮点</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作为大运河文化带整体情景的组成部分，将完善桃园、老街等景区停车交通及游客中心的配套服务功能；延续传统古盐运河文化风貌，演绎现代泰州地域风格的新老文化的碰撞融合；建设游船码头、配套商业等内容。</w:t>
            </w:r>
          </w:p>
        </w:tc>
      </w:tr>
      <w:tr>
        <w:tblPrEx>
          <w:tblCellMar>
            <w:top w:w="0" w:type="dxa"/>
            <w:left w:w="0" w:type="dxa"/>
            <w:bottom w:w="0" w:type="dxa"/>
            <w:right w:w="0" w:type="dxa"/>
          </w:tblCellMar>
        </w:tblPrEx>
        <w:trPr>
          <w:trHeight w:val="1288"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16</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新桥镇滨江生态湿地修复</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江苏省省级湿地公园</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改建绿道8.2Km，整治合兴港1.8Km，九圩港绿化1,6Km、湿地修复230亩、湿地重建66亩。土地整治130亩、土地复垦75亩，景观小品20处，村居整治环境200户。</w:t>
            </w:r>
          </w:p>
        </w:tc>
      </w:tr>
      <w:tr>
        <w:tblPrEx>
          <w:tblCellMar>
            <w:top w:w="0" w:type="dxa"/>
            <w:left w:w="0" w:type="dxa"/>
            <w:bottom w:w="0" w:type="dxa"/>
            <w:right w:w="0" w:type="dxa"/>
          </w:tblCellMar>
        </w:tblPrEx>
        <w:trPr>
          <w:trHeight w:val="135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17</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季市镇旅游景观建设及老街修缮项目</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中华美食名镇，江苏省旅游特色街区</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季市中路重建和沿途立面改造；按旅游景观标准修缮朱氏老宅、印庄巡检司衙门、胡园泰茶叶店等老街古建筑；建设古镇公园、老街体验中心等。着重修复十字街的历史功能，将十字街打造成为季市“中华美食名镇”核心支撑。</w:t>
            </w:r>
          </w:p>
        </w:tc>
      </w:tr>
      <w:tr>
        <w:tblPrEx>
          <w:tblCellMar>
            <w:top w:w="0" w:type="dxa"/>
            <w:left w:w="0" w:type="dxa"/>
            <w:bottom w:w="0" w:type="dxa"/>
            <w:right w:w="0" w:type="dxa"/>
          </w:tblCellMar>
        </w:tblPrEx>
        <w:trPr>
          <w:trHeight w:val="984"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18</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 xml:space="preserve">靖江市文创园 </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江苏省文化创意产业高地</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文创园主要分为靖江市广播电视中心、江苏有线、青少年活动中心、中小企业办公基地四大板块。</w:t>
            </w:r>
          </w:p>
        </w:tc>
      </w:tr>
      <w:tr>
        <w:tblPrEx>
          <w:tblCellMar>
            <w:top w:w="0" w:type="dxa"/>
            <w:left w:w="0" w:type="dxa"/>
            <w:bottom w:w="0" w:type="dxa"/>
            <w:right w:w="0" w:type="dxa"/>
          </w:tblCellMar>
        </w:tblPrEx>
        <w:trPr>
          <w:trHeight w:val="1253"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19</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靖江市红色文化旅游景点</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红色文化旅游新亮点</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完成烈士陵园搬迁和修缮恢复老县委旧址、弘毅中学旧址、独立指挥团旧址、打造红色文化与红枫生态相结合的红色旅游景点。</w:t>
            </w:r>
          </w:p>
        </w:tc>
      </w:tr>
      <w:tr>
        <w:tblPrEx>
          <w:tblCellMar>
            <w:top w:w="0" w:type="dxa"/>
            <w:left w:w="0" w:type="dxa"/>
            <w:bottom w:w="0" w:type="dxa"/>
            <w:right w:w="0" w:type="dxa"/>
          </w:tblCellMar>
        </w:tblPrEx>
        <w:trPr>
          <w:trHeight w:val="54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20</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涵东街历史文化街区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中国历史文化名街，江苏省文旅商融合新亮点</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改善街区内部房屋，完善基础设施，修缮文保单位，对街区进行整治。</w:t>
            </w:r>
          </w:p>
        </w:tc>
      </w:tr>
      <w:tr>
        <w:tblPrEx>
          <w:tblCellMar>
            <w:top w:w="0" w:type="dxa"/>
            <w:left w:w="0" w:type="dxa"/>
            <w:bottom w:w="0" w:type="dxa"/>
            <w:right w:w="0" w:type="dxa"/>
          </w:tblCellMar>
        </w:tblPrEx>
        <w:trPr>
          <w:trHeight w:val="106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21</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滨江风光带</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江苏省沿江旅游的重要节点</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串联牧城公园、东线第一帆公园、城市湿地公园、音乐花海广场，打造滨江风光带旅游景区。</w:t>
            </w:r>
          </w:p>
        </w:tc>
      </w:tr>
      <w:tr>
        <w:tblPrEx>
          <w:tblCellMar>
            <w:top w:w="0" w:type="dxa"/>
            <w:left w:w="0" w:type="dxa"/>
            <w:bottom w:w="0" w:type="dxa"/>
            <w:right w:w="0" w:type="dxa"/>
          </w:tblCellMar>
        </w:tblPrEx>
        <w:trPr>
          <w:trHeight w:val="1337"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22</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十圩景观带南延至牧城公园斑马赛道改造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泰州市体育旅游新亮点</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打造体育中心至牧城公园的城市半马赛道，推进十圩港景观南延建设。</w:t>
            </w:r>
          </w:p>
        </w:tc>
      </w:tr>
      <w:tr>
        <w:tblPrEx>
          <w:tblCellMar>
            <w:top w:w="0" w:type="dxa"/>
            <w:left w:w="0" w:type="dxa"/>
            <w:bottom w:w="0" w:type="dxa"/>
            <w:right w:w="0" w:type="dxa"/>
          </w:tblCellMar>
        </w:tblPrEx>
        <w:trPr>
          <w:trHeight w:val="135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23</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马驼沙滨江旅游度假区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国家级4A旅游景区，苏锡常泰乃至长三角城市群的休闲度假“后花园”</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主要项目包括：城市阳台、小桥港景观带-靖江历史文化长廊、环城公园、沿江时尚体育特色项目集群，形成集休闲度假、文化交流、生态观光、滨江娱乐等功能于一体的滨江旅游综合体。</w:t>
            </w:r>
          </w:p>
        </w:tc>
      </w:tr>
      <w:tr>
        <w:tblPrEx>
          <w:tblCellMar>
            <w:top w:w="0" w:type="dxa"/>
            <w:left w:w="0" w:type="dxa"/>
            <w:bottom w:w="0" w:type="dxa"/>
            <w:right w:w="0" w:type="dxa"/>
          </w:tblCellMar>
        </w:tblPrEx>
        <w:trPr>
          <w:trHeight w:val="1056"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24</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东方重工文化艺术区建设</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江苏省文化创意产业高地</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通过景观改造将原来工业时代的生产空间重新归还自然和城市，形成记忆特征的同时又能够满足城市居民休闲，游憩等功能的后工业景观公园。</w:t>
            </w:r>
          </w:p>
        </w:tc>
      </w:tr>
      <w:tr>
        <w:tblPrEx>
          <w:tblCellMar>
            <w:top w:w="0" w:type="dxa"/>
            <w:left w:w="0" w:type="dxa"/>
            <w:bottom w:w="0" w:type="dxa"/>
            <w:right w:w="0" w:type="dxa"/>
          </w:tblCellMar>
        </w:tblPrEx>
        <w:trPr>
          <w:trHeight w:val="141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25</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孤山旅游风景区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国家4A级景区</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打造集禅修体验、养生餐饮、园林漫步、健身康养于一体的综合性休闲禅养功能区。依托孤山地理之根及孤山寺的影响力，将同兴路打造成特色民俗集市商业街。</w:t>
            </w:r>
          </w:p>
        </w:tc>
      </w:tr>
      <w:tr>
        <w:tblPrEx>
          <w:tblCellMar>
            <w:top w:w="0" w:type="dxa"/>
            <w:left w:w="0" w:type="dxa"/>
            <w:bottom w:w="0" w:type="dxa"/>
            <w:right w:w="0" w:type="dxa"/>
          </w:tblCellMar>
        </w:tblPrEx>
        <w:trPr>
          <w:trHeight w:val="9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26</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马桥镇徐周田园综合体</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省级田园度假综合体</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进一步营造田园景观氛围，延伸农业产业链条，开发丰富的旅游休闲体验类项目。重点工程包括：G12农乐谷、果香乐园、芦笋基地、孙家老宅文博园、十里樱花港。</w:t>
            </w:r>
          </w:p>
        </w:tc>
      </w:tr>
      <w:tr>
        <w:tblPrEx>
          <w:tblCellMar>
            <w:top w:w="0" w:type="dxa"/>
            <w:left w:w="0" w:type="dxa"/>
            <w:bottom w:w="0" w:type="dxa"/>
            <w:right w:w="0" w:type="dxa"/>
          </w:tblCellMar>
        </w:tblPrEx>
        <w:trPr>
          <w:trHeight w:val="1974"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27</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生祠人文旅游区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形成集名人纪念、爱国主义教育、文化产业发展为一体的文旅融合新名片</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以国家4A级旅游景区、全国研学旅游示范基地为发展定位，整合岳飞、刘国钧、柳浦庆等人文资源，以岳飞为核心，构建名人纪念。主题文化活动、研学教育、传统民俗、文化创意、特色餐饮六大旅游体验。</w:t>
            </w:r>
          </w:p>
        </w:tc>
      </w:tr>
      <w:tr>
        <w:tblPrEx>
          <w:tblCellMar>
            <w:top w:w="0" w:type="dxa"/>
            <w:left w:w="0" w:type="dxa"/>
            <w:bottom w:w="0" w:type="dxa"/>
            <w:right w:w="0" w:type="dxa"/>
          </w:tblCellMar>
        </w:tblPrEx>
        <w:trPr>
          <w:trHeight w:val="110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28</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黄桥古镇和琴韵基地</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国家4A级旅游景区，文旅商融合新亮点，长三角地区知名红色古镇</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重点建设“一湖两厅两片区”（音乐湖、基地客厅、乐器产业集聚区、琴韵文化拓展区），重点推进黄桥古镇旅游综合服务功能提升。</w:t>
            </w:r>
          </w:p>
        </w:tc>
      </w:tr>
      <w:tr>
        <w:tblPrEx>
          <w:tblCellMar>
            <w:top w:w="0" w:type="dxa"/>
            <w:left w:w="0" w:type="dxa"/>
            <w:bottom w:w="0" w:type="dxa"/>
            <w:right w:w="0" w:type="dxa"/>
          </w:tblCellMar>
        </w:tblPrEx>
        <w:trPr>
          <w:trHeight w:val="135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29</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祁巷民俗村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全国乡村旅游重点村</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依托祁巷村特色田园乡村资源，挖掘祁巷历史文化恢复祁家巷子、魏家巷子古巷道，建成染房、酒坊、作坊、铁匠铺、豆腐坊、私塾坊、古戏台等民俗街区；建成农耕文化展览馆和体验园；建成农家民宿住宿区。</w:t>
            </w:r>
          </w:p>
        </w:tc>
      </w:tr>
      <w:tr>
        <w:tblPrEx>
          <w:tblCellMar>
            <w:top w:w="0" w:type="dxa"/>
            <w:left w:w="0" w:type="dxa"/>
            <w:bottom w:w="0" w:type="dxa"/>
            <w:right w:w="0" w:type="dxa"/>
          </w:tblCellMar>
        </w:tblPrEx>
        <w:trPr>
          <w:trHeight w:val="81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30</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长江生态廊道拓展区旅游提升</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生态休闲旅游度假区</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在长江生态廊道岸线500米范围内打造4个省级绿美村庄，新建民宿、餐饮、娱乐等旅游配套设施。</w:t>
            </w:r>
          </w:p>
        </w:tc>
      </w:tr>
      <w:tr>
        <w:tblPrEx>
          <w:tblCellMar>
            <w:top w:w="0" w:type="dxa"/>
            <w:left w:w="0" w:type="dxa"/>
            <w:bottom w:w="0" w:type="dxa"/>
            <w:right w:w="0" w:type="dxa"/>
          </w:tblCellMar>
        </w:tblPrEx>
        <w:trPr>
          <w:trHeight w:val="81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31</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银杏村银杏主题创意休闲旅游项目</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全国乡村旅游重点村</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利用银杏村现有的丰富银杏资源，整体打造银杏村民宿、休闲娱乐项目等。</w:t>
            </w:r>
          </w:p>
        </w:tc>
      </w:tr>
      <w:tr>
        <w:tblPrEx>
          <w:tblCellMar>
            <w:top w:w="0" w:type="dxa"/>
            <w:left w:w="0" w:type="dxa"/>
            <w:bottom w:w="0" w:type="dxa"/>
            <w:right w:w="0" w:type="dxa"/>
          </w:tblCellMar>
        </w:tblPrEx>
        <w:trPr>
          <w:trHeight w:val="81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32</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泰兴三阳温泉湿地</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国家4A级旅游景区</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利用三阳湖温泉、岛、湿地等资源，发展农文旅康养综合体项目，辐射三阳村建成省级乡村旅游重点村。</w:t>
            </w:r>
          </w:p>
        </w:tc>
      </w:tr>
      <w:tr>
        <w:tblPrEx>
          <w:tblCellMar>
            <w:top w:w="0" w:type="dxa"/>
            <w:left w:w="0" w:type="dxa"/>
            <w:bottom w:w="0" w:type="dxa"/>
            <w:right w:w="0" w:type="dxa"/>
          </w:tblCellMar>
        </w:tblPrEx>
        <w:trPr>
          <w:trHeight w:val="108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33</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沙沟渔文化旅游区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里下河特色渔文化旅游风情古镇，省级特色小镇（旅游风情类）</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建设古法捕钓十八帮渔事体验园、会客厅、风情渔港、米仓客栈、古镇茶馆、鱼市口文化广场、双桥迎宾景观带、环镇路、渔需老街、紫薇苑安置小区、镇南河沿河风情街等。</w:t>
            </w:r>
          </w:p>
        </w:tc>
      </w:tr>
      <w:tr>
        <w:tblPrEx>
          <w:tblCellMar>
            <w:top w:w="0" w:type="dxa"/>
            <w:left w:w="0" w:type="dxa"/>
            <w:bottom w:w="0" w:type="dxa"/>
            <w:right w:w="0" w:type="dxa"/>
          </w:tblCellMar>
        </w:tblPrEx>
        <w:trPr>
          <w:trHeight w:val="108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34</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凤栖湖生态区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国家4A级旅游景区，省级旅游度假区</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打造集文化休闲、生态休养、生态康养、体育运动、湖泊湿地、宗教体验等为一体的综合性文化公园。</w:t>
            </w:r>
          </w:p>
        </w:tc>
      </w:tr>
      <w:tr>
        <w:tblPrEx>
          <w:tblCellMar>
            <w:top w:w="0" w:type="dxa"/>
            <w:left w:w="0" w:type="dxa"/>
            <w:bottom w:w="0" w:type="dxa"/>
            <w:right w:w="0" w:type="dxa"/>
          </w:tblCellMar>
        </w:tblPrEx>
        <w:trPr>
          <w:trHeight w:val="144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35</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天目山文化综合体</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建设集文化展示、历史体验、旅游观光、教育培训为一体的文旅综合体验项目</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立足天目山现有历史遗迹与文化资源，对天目山遗址区域深度规划设计，集中打造石刻公园片区、遗址片区、国际学院片区、智慧片区、数字艺术片区等五大片区。</w:t>
            </w:r>
          </w:p>
        </w:tc>
      </w:tr>
      <w:tr>
        <w:tblPrEx>
          <w:tblCellMar>
            <w:top w:w="0" w:type="dxa"/>
            <w:left w:w="0" w:type="dxa"/>
            <w:bottom w:w="0" w:type="dxa"/>
            <w:right w:w="0" w:type="dxa"/>
          </w:tblCellMar>
        </w:tblPrEx>
        <w:trPr>
          <w:trHeight w:val="135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36</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天德湖景区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天德湖公园景观综合提升</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改造提升原有园博会各城市展园，从空间梳理、绿化提升、节点提升等三个方面对各展园景观进行提升。同时，在主园路沿线打造好人园等特色展园，充分体现泰州地方文化特色。增加柔性健康步道，提升步道沿线景观和夜景景观。</w:t>
            </w:r>
          </w:p>
        </w:tc>
      </w:tr>
      <w:tr>
        <w:tblPrEx>
          <w:tblCellMar>
            <w:top w:w="0" w:type="dxa"/>
            <w:left w:w="0" w:type="dxa"/>
            <w:bottom w:w="0" w:type="dxa"/>
            <w:right w:w="0" w:type="dxa"/>
          </w:tblCellMar>
        </w:tblPrEx>
        <w:trPr>
          <w:trHeight w:val="81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37</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施耐庵文化园</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泰州市文化旅游新亮点</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将陈列馆进行扩建提升，施耐庵故居复建，设置水浒文化体验交流中心、水浒风情街、水浒表演馆、施家桥传统村落等特色项目。</w:t>
            </w:r>
          </w:p>
        </w:tc>
      </w:tr>
      <w:tr>
        <w:tblPrEx>
          <w:tblCellMar>
            <w:top w:w="0" w:type="dxa"/>
            <w:left w:w="0" w:type="dxa"/>
            <w:bottom w:w="0" w:type="dxa"/>
            <w:right w:w="0" w:type="dxa"/>
          </w:tblCellMar>
        </w:tblPrEx>
        <w:trPr>
          <w:trHeight w:val="81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38</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泰兴国家古银杏公园</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集古名树保护、水乡度假、森林康养、科普宣教于一体的古银杏文化主题公园</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以古银杏资源的保护为中心，以水乡森林风景资源培育为重点，以彰显“古银杏村落”资源为特色的发展战略。</w:t>
            </w:r>
          </w:p>
        </w:tc>
      </w:tr>
      <w:tr>
        <w:tblPrEx>
          <w:tblCellMar>
            <w:top w:w="0" w:type="dxa"/>
            <w:left w:w="0" w:type="dxa"/>
            <w:bottom w:w="0" w:type="dxa"/>
            <w:right w:w="0" w:type="dxa"/>
          </w:tblCellMar>
        </w:tblPrEx>
        <w:trPr>
          <w:trHeight w:val="216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39</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姜堰古罗塘旅游文化景区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泰州市文化旅游新亮点，江苏省文化产业示范基地</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深入挖掘古罗塘历史文化内涵，完善旅游要素，努力打造管理服务一流的景区；逐步树立起古罗塘文化景区的形象，完善标牌、导览图等细节；打造文化牌，将文化景点作为文化核心吸引力打造，突出特色亮点；提升管理服务水平，加强景区标准化建设，加强人才队伍建设，提升古罗塘旅游文化内涵。</w:t>
            </w:r>
          </w:p>
        </w:tc>
      </w:tr>
      <w:tr>
        <w:tblPrEx>
          <w:tblCellMar>
            <w:top w:w="0" w:type="dxa"/>
            <w:left w:w="0" w:type="dxa"/>
            <w:bottom w:w="0" w:type="dxa"/>
            <w:right w:w="0" w:type="dxa"/>
          </w:tblCellMar>
        </w:tblPrEx>
        <w:trPr>
          <w:trHeight w:val="1350" w:hRule="atLeast"/>
        </w:trPr>
        <w:tc>
          <w:tcPr>
            <w:tcW w:w="449"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p>
        </w:tc>
        <w:tc>
          <w:tcPr>
            <w:tcW w:w="3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40</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金东门古街区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泰州非物质文化特色街区</w:t>
            </w:r>
          </w:p>
        </w:tc>
        <w:tc>
          <w:tcPr>
            <w:tcW w:w="2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按照5A级景区进行打造，实现保护与旅游开发的良性互动。提升陈列馆，广泛搜集各类展品，更加全面呈现名人生活,展示名人文化；利用现代声、光、电技术，将传统文化与现代技术相互结合，增强展示能力。</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551" w:type="pct"/>
          <w:trHeight w:val="100" w:hRule="atLeast"/>
        </w:trPr>
        <w:tc>
          <w:tcPr>
            <w:tcW w:w="449" w:type="pct"/>
            <w:tcBorders>
              <w:top w:val="single" w:color="auto" w:sz="4" w:space="0"/>
            </w:tcBorders>
          </w:tcPr>
          <w:p>
            <w:pPr>
              <w:pStyle w:val="26"/>
              <w:tabs>
                <w:tab w:val="right" w:leader="dot" w:pos="8300"/>
              </w:tabs>
              <w:rPr>
                <w:rFonts w:ascii="仿宋" w:hAnsi="仿宋" w:eastAsia="仿宋"/>
                <w:bCs/>
                <w:sz w:val="30"/>
                <w:szCs w:val="30"/>
              </w:rPr>
            </w:pPr>
          </w:p>
        </w:tc>
      </w:tr>
    </w:tbl>
    <w:p>
      <w:pPr>
        <w:pStyle w:val="26"/>
        <w:tabs>
          <w:tab w:val="right" w:leader="dot" w:pos="8300"/>
        </w:tabs>
        <w:rPr>
          <w:rFonts w:ascii="仿宋" w:hAnsi="仿宋" w:eastAsia="仿宋"/>
          <w:bCs/>
          <w:sz w:val="30"/>
          <w:szCs w:val="30"/>
        </w:rPr>
      </w:pPr>
    </w:p>
    <w:sectPr>
      <w:footerReference r:id="rId3" w:type="default"/>
      <w:pgSz w:w="11906" w:h="16838"/>
      <w:pgMar w:top="1440" w:right="1803" w:bottom="1440" w:left="1803" w:header="851" w:footer="992" w:gutter="0"/>
      <w:pgNumType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A2356D0-ACCF-4BF8-8540-CBFFE82CEAC7}"/>
  </w:font>
  <w:font w:name="黑体">
    <w:panose1 w:val="02010609060101010101"/>
    <w:charset w:val="86"/>
    <w:family w:val="auto"/>
    <w:pitch w:val="default"/>
    <w:sig w:usb0="800002BF" w:usb1="38CF7CFA" w:usb2="00000016" w:usb3="00000000" w:csb0="00040001" w:csb1="00000000"/>
    <w:embedRegular r:id="rId2" w:fontKey="{B39E1F66-1873-4334-BDB5-66AE2683D5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A6DE39A-E78F-4F4E-85CC-422EB1D9668E}"/>
  </w:font>
  <w:font w:name="方正黑体_GBK">
    <w:altName w:val="微软雅黑"/>
    <w:panose1 w:val="03000509000000000000"/>
    <w:charset w:val="86"/>
    <w:family w:val="script"/>
    <w:pitch w:val="default"/>
    <w:sig w:usb0="00000000" w:usb1="00000000" w:usb2="00000010" w:usb3="00000000" w:csb0="00040000" w:csb1="00000000"/>
    <w:embedRegular r:id="rId4" w:fontKey="{AEF2AD41-0F2B-4869-9821-A6494315AA99}"/>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embedRegular r:id="rId5" w:fontKey="{F116F2B7-F5EF-4E4A-8B86-C7CE6F544E56}"/>
  </w:font>
  <w:font w:name="仿宋">
    <w:panose1 w:val="02010609060101010101"/>
    <w:charset w:val="86"/>
    <w:family w:val="modern"/>
    <w:pitch w:val="default"/>
    <w:sig w:usb0="800002BF" w:usb1="38CF7CFA" w:usb2="00000016" w:usb3="00000000" w:csb0="00040001" w:csb1="00000000"/>
    <w:embedRegular r:id="rId6" w:fontKey="{FA01EF32-398C-43EC-BD65-7FBE0C15E82E}"/>
  </w:font>
  <w:font w:name="方正小标宋_GBK">
    <w:panose1 w:val="02000000000000000000"/>
    <w:charset w:val="86"/>
    <w:family w:val="script"/>
    <w:pitch w:val="default"/>
    <w:sig w:usb0="A00002BF" w:usb1="38CF7CFA" w:usb2="00082016" w:usb3="00000000" w:csb0="00040001" w:csb1="00000000"/>
    <w:embedRegular r:id="rId7" w:fontKey="{6FA961DB-9415-4822-A69A-186363DF47CE}"/>
  </w:font>
  <w:font w:name="仿宋_GB2312">
    <w:panose1 w:val="02010609030101010101"/>
    <w:charset w:val="86"/>
    <w:family w:val="modern"/>
    <w:pitch w:val="default"/>
    <w:sig w:usb0="00000001" w:usb1="080E0000" w:usb2="00000000" w:usb3="00000000" w:csb0="00040000" w:csb1="00000000"/>
    <w:embedRegular r:id="rId8" w:fontKey="{6DA4889F-3ABC-46C2-B8B7-1D3ED73DB0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71780" cy="1397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271780" cy="139700"/>
                      </a:xfrm>
                      <a:prstGeom prst="rect">
                        <a:avLst/>
                      </a:prstGeom>
                      <a:noFill/>
                      <a:ln w="6350">
                        <a:noFill/>
                      </a:ln>
                      <a:effectLst/>
                    </wps:spPr>
                    <wps:txbx>
                      <w:txbxContent>
                        <w:p>
                          <w:pPr>
                            <w:pStyle w:val="14"/>
                            <w:contextualSpacing/>
                            <w:jc w:val="center"/>
                          </w:pPr>
                          <w:r>
                            <w:fldChar w:fldCharType="begin"/>
                          </w:r>
                          <w:r>
                            <w:instrText xml:space="preserve"> PAGE  \* MERGEFORMAT </w:instrText>
                          </w:r>
                          <w:r>
                            <w:fldChar w:fldCharType="separate"/>
                          </w:r>
                          <w:r>
                            <w:t>20</w:t>
                          </w:r>
                          <w:r>
                            <w:fldChar w:fldCharType="end"/>
                          </w:r>
                        </w:p>
                      </w:txbxContent>
                    </wps:txbx>
                    <wps:bodyPr lIns="0" tIns="0" rIns="0" bIns="0" upright="1">
                      <a:spAutoFit/>
                    </wps:bodyPr>
                  </wps:wsp>
                </a:graphicData>
              </a:graphic>
            </wp:anchor>
          </w:drawing>
        </mc:Choice>
        <mc:Fallback>
          <w:pict>
            <v:shape id="文本框 1025" o:spid="_x0000_s1026" o:spt="202" type="#_x0000_t202" style="position:absolute;left:0pt;margin-top:0pt;height:11pt;width:21.4pt;mso-position-horizontal:center;mso-position-horizontal-relative:margin;z-index:251660288;mso-width-relative:page;mso-height-relative:page;" filled="f" stroked="f" coordsize="21600,21600" o:gfxdata="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tpAutIAAAADAQAADwAAAAAAAAABACAAAAAi&#10;AAAAZHJzL2Rvd25yZXYueG1sUEsBAhQAFAAAAAgAh07iQIMS5dLXAQAApQMAAA4AAAAAAAAAAQAg&#10;AAAAIQEAAGRycy9lMm9Eb2MueG1sUEsFBgAAAAAGAAYAWQEAAGoFAAAAAA==&#10;">
              <v:fill on="f" focussize="0,0"/>
              <v:stroke on="f" weight="0.5pt"/>
              <v:imagedata o:title=""/>
              <o:lock v:ext="edit" aspectratio="f"/>
              <v:textbox inset="0mm,0mm,0mm,0mm" style="mso-fit-shape-to-text:t;">
                <w:txbxContent>
                  <w:p>
                    <w:pPr>
                      <w:pStyle w:val="14"/>
                      <w:contextualSpacing/>
                      <w:jc w:val="center"/>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9B271"/>
    <w:multiLevelType w:val="singleLevel"/>
    <w:tmpl w:val="E6C9B271"/>
    <w:lvl w:ilvl="0" w:tentative="0">
      <w:start w:val="1"/>
      <w:numFmt w:val="decimal"/>
      <w:pStyle w:val="9"/>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EB"/>
    <w:rsid w:val="000074D5"/>
    <w:rsid w:val="00020B4F"/>
    <w:rsid w:val="00056F87"/>
    <w:rsid w:val="00081695"/>
    <w:rsid w:val="0008483E"/>
    <w:rsid w:val="000A7096"/>
    <w:rsid w:val="000A7C92"/>
    <w:rsid w:val="000E3B91"/>
    <w:rsid w:val="000E705C"/>
    <w:rsid w:val="000F1049"/>
    <w:rsid w:val="001204FC"/>
    <w:rsid w:val="00121604"/>
    <w:rsid w:val="00135DE2"/>
    <w:rsid w:val="0014513D"/>
    <w:rsid w:val="00184D8E"/>
    <w:rsid w:val="00193D64"/>
    <w:rsid w:val="001C6180"/>
    <w:rsid w:val="001D2B3C"/>
    <w:rsid w:val="001D4199"/>
    <w:rsid w:val="001E1B46"/>
    <w:rsid w:val="002102A3"/>
    <w:rsid w:val="00225469"/>
    <w:rsid w:val="00227D5E"/>
    <w:rsid w:val="00231519"/>
    <w:rsid w:val="00247F83"/>
    <w:rsid w:val="00250D28"/>
    <w:rsid w:val="00253105"/>
    <w:rsid w:val="00272F5A"/>
    <w:rsid w:val="002A17B1"/>
    <w:rsid w:val="002B1C3B"/>
    <w:rsid w:val="002D5354"/>
    <w:rsid w:val="002F4A64"/>
    <w:rsid w:val="0035058B"/>
    <w:rsid w:val="0035207E"/>
    <w:rsid w:val="0035663A"/>
    <w:rsid w:val="0037290D"/>
    <w:rsid w:val="0037616D"/>
    <w:rsid w:val="003A3689"/>
    <w:rsid w:val="003A5EE0"/>
    <w:rsid w:val="003B1ED6"/>
    <w:rsid w:val="003C7384"/>
    <w:rsid w:val="003C7AB6"/>
    <w:rsid w:val="003F655F"/>
    <w:rsid w:val="00412B0D"/>
    <w:rsid w:val="00424B68"/>
    <w:rsid w:val="004307F0"/>
    <w:rsid w:val="004340F0"/>
    <w:rsid w:val="0045045B"/>
    <w:rsid w:val="00463793"/>
    <w:rsid w:val="00463A82"/>
    <w:rsid w:val="0047671B"/>
    <w:rsid w:val="00495912"/>
    <w:rsid w:val="004A240D"/>
    <w:rsid w:val="004B4949"/>
    <w:rsid w:val="004B755A"/>
    <w:rsid w:val="004C04FB"/>
    <w:rsid w:val="004C3ED7"/>
    <w:rsid w:val="004C5F17"/>
    <w:rsid w:val="004D4384"/>
    <w:rsid w:val="00525239"/>
    <w:rsid w:val="00533FC5"/>
    <w:rsid w:val="00543B43"/>
    <w:rsid w:val="00551CBB"/>
    <w:rsid w:val="005938C0"/>
    <w:rsid w:val="00594AA8"/>
    <w:rsid w:val="00596896"/>
    <w:rsid w:val="00597352"/>
    <w:rsid w:val="005A45D9"/>
    <w:rsid w:val="005B1A8A"/>
    <w:rsid w:val="005B7E48"/>
    <w:rsid w:val="005C2937"/>
    <w:rsid w:val="005C565D"/>
    <w:rsid w:val="00604A1E"/>
    <w:rsid w:val="006064F0"/>
    <w:rsid w:val="00621183"/>
    <w:rsid w:val="00626644"/>
    <w:rsid w:val="006451EA"/>
    <w:rsid w:val="00646BE7"/>
    <w:rsid w:val="00654E82"/>
    <w:rsid w:val="006666F2"/>
    <w:rsid w:val="00674833"/>
    <w:rsid w:val="00684F14"/>
    <w:rsid w:val="00697B33"/>
    <w:rsid w:val="006A422C"/>
    <w:rsid w:val="006B0E5B"/>
    <w:rsid w:val="006B31D1"/>
    <w:rsid w:val="006C1BB2"/>
    <w:rsid w:val="006C636B"/>
    <w:rsid w:val="006F4CB3"/>
    <w:rsid w:val="007112AF"/>
    <w:rsid w:val="0074658C"/>
    <w:rsid w:val="00750DEB"/>
    <w:rsid w:val="00753C16"/>
    <w:rsid w:val="0076441D"/>
    <w:rsid w:val="00791805"/>
    <w:rsid w:val="007A1F7E"/>
    <w:rsid w:val="007B04C5"/>
    <w:rsid w:val="007B101C"/>
    <w:rsid w:val="007E70D3"/>
    <w:rsid w:val="007E797E"/>
    <w:rsid w:val="007F397C"/>
    <w:rsid w:val="00802888"/>
    <w:rsid w:val="0081129E"/>
    <w:rsid w:val="00812629"/>
    <w:rsid w:val="0086034D"/>
    <w:rsid w:val="00872E4F"/>
    <w:rsid w:val="008747EA"/>
    <w:rsid w:val="008D17D3"/>
    <w:rsid w:val="008E4060"/>
    <w:rsid w:val="008F446A"/>
    <w:rsid w:val="009105FA"/>
    <w:rsid w:val="009623D0"/>
    <w:rsid w:val="009634B5"/>
    <w:rsid w:val="00965748"/>
    <w:rsid w:val="00967934"/>
    <w:rsid w:val="0097359B"/>
    <w:rsid w:val="00975BE2"/>
    <w:rsid w:val="00975C2E"/>
    <w:rsid w:val="009802E5"/>
    <w:rsid w:val="009B3C00"/>
    <w:rsid w:val="009C655F"/>
    <w:rsid w:val="009D241E"/>
    <w:rsid w:val="009E0D8C"/>
    <w:rsid w:val="009E6188"/>
    <w:rsid w:val="009E684D"/>
    <w:rsid w:val="00A07E41"/>
    <w:rsid w:val="00A23ED0"/>
    <w:rsid w:val="00A42F42"/>
    <w:rsid w:val="00A56086"/>
    <w:rsid w:val="00A560A8"/>
    <w:rsid w:val="00A56F89"/>
    <w:rsid w:val="00A64D8B"/>
    <w:rsid w:val="00A66AB6"/>
    <w:rsid w:val="00A900C4"/>
    <w:rsid w:val="00AA00BA"/>
    <w:rsid w:val="00AA7A92"/>
    <w:rsid w:val="00AB1756"/>
    <w:rsid w:val="00AE217A"/>
    <w:rsid w:val="00AE5603"/>
    <w:rsid w:val="00AF32CB"/>
    <w:rsid w:val="00AF3F20"/>
    <w:rsid w:val="00AF430B"/>
    <w:rsid w:val="00B00C97"/>
    <w:rsid w:val="00B21AEE"/>
    <w:rsid w:val="00B359C0"/>
    <w:rsid w:val="00B472F1"/>
    <w:rsid w:val="00B76759"/>
    <w:rsid w:val="00B83BBD"/>
    <w:rsid w:val="00B9111E"/>
    <w:rsid w:val="00BA2E23"/>
    <w:rsid w:val="00BA62BC"/>
    <w:rsid w:val="00BC0ACE"/>
    <w:rsid w:val="00BC30EF"/>
    <w:rsid w:val="00BC60B0"/>
    <w:rsid w:val="00BC6AA3"/>
    <w:rsid w:val="00BD71F4"/>
    <w:rsid w:val="00C24ED5"/>
    <w:rsid w:val="00C30F61"/>
    <w:rsid w:val="00C37365"/>
    <w:rsid w:val="00C45B04"/>
    <w:rsid w:val="00C5096F"/>
    <w:rsid w:val="00C57570"/>
    <w:rsid w:val="00C96EBD"/>
    <w:rsid w:val="00CB0BE5"/>
    <w:rsid w:val="00CB16B3"/>
    <w:rsid w:val="00CB7FB1"/>
    <w:rsid w:val="00CC1A83"/>
    <w:rsid w:val="00CC5C0D"/>
    <w:rsid w:val="00CD4F46"/>
    <w:rsid w:val="00CE5736"/>
    <w:rsid w:val="00CE6CD4"/>
    <w:rsid w:val="00CF1CAA"/>
    <w:rsid w:val="00D12410"/>
    <w:rsid w:val="00D204C6"/>
    <w:rsid w:val="00D43059"/>
    <w:rsid w:val="00D435FD"/>
    <w:rsid w:val="00D53BD2"/>
    <w:rsid w:val="00D7369D"/>
    <w:rsid w:val="00DA47D1"/>
    <w:rsid w:val="00DA685C"/>
    <w:rsid w:val="00DA68DE"/>
    <w:rsid w:val="00DD0230"/>
    <w:rsid w:val="00DD0665"/>
    <w:rsid w:val="00DF2506"/>
    <w:rsid w:val="00DF5452"/>
    <w:rsid w:val="00E379B0"/>
    <w:rsid w:val="00E4102C"/>
    <w:rsid w:val="00E52B3F"/>
    <w:rsid w:val="00E620B3"/>
    <w:rsid w:val="00E937B1"/>
    <w:rsid w:val="00EA7349"/>
    <w:rsid w:val="00EC7DDE"/>
    <w:rsid w:val="00ED56BD"/>
    <w:rsid w:val="00ED7789"/>
    <w:rsid w:val="00EF7A99"/>
    <w:rsid w:val="00F01AFF"/>
    <w:rsid w:val="00F061C0"/>
    <w:rsid w:val="00F07D85"/>
    <w:rsid w:val="00F1049C"/>
    <w:rsid w:val="00F16BA4"/>
    <w:rsid w:val="00F16EC7"/>
    <w:rsid w:val="00F345EB"/>
    <w:rsid w:val="00F44511"/>
    <w:rsid w:val="00F67138"/>
    <w:rsid w:val="00F67A28"/>
    <w:rsid w:val="00F81786"/>
    <w:rsid w:val="00F95ECC"/>
    <w:rsid w:val="00FA218E"/>
    <w:rsid w:val="00FF5721"/>
    <w:rsid w:val="011E078E"/>
    <w:rsid w:val="017C5945"/>
    <w:rsid w:val="01967D1F"/>
    <w:rsid w:val="01A77D8B"/>
    <w:rsid w:val="01DD59A9"/>
    <w:rsid w:val="02087968"/>
    <w:rsid w:val="02983721"/>
    <w:rsid w:val="02CA7F39"/>
    <w:rsid w:val="03BC2C9A"/>
    <w:rsid w:val="03C93AB4"/>
    <w:rsid w:val="0440446C"/>
    <w:rsid w:val="04497FDD"/>
    <w:rsid w:val="047B6753"/>
    <w:rsid w:val="04815267"/>
    <w:rsid w:val="05931E09"/>
    <w:rsid w:val="05A852EF"/>
    <w:rsid w:val="06024155"/>
    <w:rsid w:val="065654F7"/>
    <w:rsid w:val="06FB0E0F"/>
    <w:rsid w:val="07346B73"/>
    <w:rsid w:val="073561E2"/>
    <w:rsid w:val="07C44B30"/>
    <w:rsid w:val="07D26ECB"/>
    <w:rsid w:val="088444A6"/>
    <w:rsid w:val="089223C5"/>
    <w:rsid w:val="08C227F2"/>
    <w:rsid w:val="098B4EC9"/>
    <w:rsid w:val="0A0B7E82"/>
    <w:rsid w:val="0A2D6343"/>
    <w:rsid w:val="0B391906"/>
    <w:rsid w:val="0B4D2749"/>
    <w:rsid w:val="0BF2756E"/>
    <w:rsid w:val="0BFD6D68"/>
    <w:rsid w:val="0C4B2EA2"/>
    <w:rsid w:val="0CE550E8"/>
    <w:rsid w:val="0CF02C09"/>
    <w:rsid w:val="0CFB4AC1"/>
    <w:rsid w:val="0D062ACB"/>
    <w:rsid w:val="0D177958"/>
    <w:rsid w:val="0D96454A"/>
    <w:rsid w:val="0DA359B2"/>
    <w:rsid w:val="0DCD70CE"/>
    <w:rsid w:val="0DCE44D2"/>
    <w:rsid w:val="0DD62AC1"/>
    <w:rsid w:val="0E244B41"/>
    <w:rsid w:val="0E480CBB"/>
    <w:rsid w:val="0EBA5E73"/>
    <w:rsid w:val="0ED9745D"/>
    <w:rsid w:val="0EEE1083"/>
    <w:rsid w:val="0F875DAD"/>
    <w:rsid w:val="0F9F54E6"/>
    <w:rsid w:val="100B20AF"/>
    <w:rsid w:val="10100BF1"/>
    <w:rsid w:val="102460A4"/>
    <w:rsid w:val="1047168B"/>
    <w:rsid w:val="10747D9F"/>
    <w:rsid w:val="109D0432"/>
    <w:rsid w:val="11176196"/>
    <w:rsid w:val="115A64FF"/>
    <w:rsid w:val="11610403"/>
    <w:rsid w:val="122D0D76"/>
    <w:rsid w:val="12511FDE"/>
    <w:rsid w:val="125C5F03"/>
    <w:rsid w:val="1272468B"/>
    <w:rsid w:val="12B10446"/>
    <w:rsid w:val="12B476B8"/>
    <w:rsid w:val="12C23BE4"/>
    <w:rsid w:val="12FC0496"/>
    <w:rsid w:val="13742651"/>
    <w:rsid w:val="14A96B83"/>
    <w:rsid w:val="154937BB"/>
    <w:rsid w:val="157C1ACF"/>
    <w:rsid w:val="16464786"/>
    <w:rsid w:val="16572B1B"/>
    <w:rsid w:val="16C964C3"/>
    <w:rsid w:val="16D76217"/>
    <w:rsid w:val="1726783C"/>
    <w:rsid w:val="1749076F"/>
    <w:rsid w:val="17766CAB"/>
    <w:rsid w:val="1788424A"/>
    <w:rsid w:val="178D0AD1"/>
    <w:rsid w:val="17B63028"/>
    <w:rsid w:val="186E459B"/>
    <w:rsid w:val="18932A86"/>
    <w:rsid w:val="18CA6FD6"/>
    <w:rsid w:val="19295F8C"/>
    <w:rsid w:val="193A354D"/>
    <w:rsid w:val="196A4C95"/>
    <w:rsid w:val="19C729DC"/>
    <w:rsid w:val="1A5C3E17"/>
    <w:rsid w:val="1BDA160F"/>
    <w:rsid w:val="1C0F6E9C"/>
    <w:rsid w:val="1C484255"/>
    <w:rsid w:val="1CD90D34"/>
    <w:rsid w:val="1DB51FAD"/>
    <w:rsid w:val="1E9E59F1"/>
    <w:rsid w:val="1EF02861"/>
    <w:rsid w:val="1F4E36DA"/>
    <w:rsid w:val="1F5B070A"/>
    <w:rsid w:val="1FBD5EDF"/>
    <w:rsid w:val="1FE74770"/>
    <w:rsid w:val="2007780A"/>
    <w:rsid w:val="20E642FB"/>
    <w:rsid w:val="215E0607"/>
    <w:rsid w:val="218E7237"/>
    <w:rsid w:val="226C42A5"/>
    <w:rsid w:val="22C47637"/>
    <w:rsid w:val="22EE662F"/>
    <w:rsid w:val="2484695B"/>
    <w:rsid w:val="24A44E9B"/>
    <w:rsid w:val="24DD3CB9"/>
    <w:rsid w:val="251A01B7"/>
    <w:rsid w:val="251D0020"/>
    <w:rsid w:val="25304DB6"/>
    <w:rsid w:val="25523516"/>
    <w:rsid w:val="25537191"/>
    <w:rsid w:val="25676E7A"/>
    <w:rsid w:val="25A106C2"/>
    <w:rsid w:val="25DD3A83"/>
    <w:rsid w:val="268A24A7"/>
    <w:rsid w:val="268B6D97"/>
    <w:rsid w:val="268D1B3C"/>
    <w:rsid w:val="26BB22FE"/>
    <w:rsid w:val="273806CD"/>
    <w:rsid w:val="27532E8F"/>
    <w:rsid w:val="27F011AF"/>
    <w:rsid w:val="28175A9D"/>
    <w:rsid w:val="28A25B04"/>
    <w:rsid w:val="2A4E3AC2"/>
    <w:rsid w:val="2B1936D0"/>
    <w:rsid w:val="2B54089A"/>
    <w:rsid w:val="2B9727AE"/>
    <w:rsid w:val="2BA9011B"/>
    <w:rsid w:val="2BF16E16"/>
    <w:rsid w:val="2CC17F6C"/>
    <w:rsid w:val="2D425ABF"/>
    <w:rsid w:val="2D473D7E"/>
    <w:rsid w:val="2D9E05AB"/>
    <w:rsid w:val="2E4E2CAC"/>
    <w:rsid w:val="2E590864"/>
    <w:rsid w:val="2EBA0884"/>
    <w:rsid w:val="2EE50913"/>
    <w:rsid w:val="2EFE490E"/>
    <w:rsid w:val="2EFF452E"/>
    <w:rsid w:val="2F01255E"/>
    <w:rsid w:val="2F572342"/>
    <w:rsid w:val="2FB33876"/>
    <w:rsid w:val="2FF759DD"/>
    <w:rsid w:val="306D0235"/>
    <w:rsid w:val="30CA343E"/>
    <w:rsid w:val="315A639E"/>
    <w:rsid w:val="316E0AA0"/>
    <w:rsid w:val="31BD20E4"/>
    <w:rsid w:val="320364B2"/>
    <w:rsid w:val="321028CB"/>
    <w:rsid w:val="32665409"/>
    <w:rsid w:val="32901F7A"/>
    <w:rsid w:val="32F028DD"/>
    <w:rsid w:val="331741BD"/>
    <w:rsid w:val="337F4DE8"/>
    <w:rsid w:val="342D3ACE"/>
    <w:rsid w:val="350B04D7"/>
    <w:rsid w:val="351757BC"/>
    <w:rsid w:val="35394E30"/>
    <w:rsid w:val="355F6294"/>
    <w:rsid w:val="359B6599"/>
    <w:rsid w:val="35B40EF8"/>
    <w:rsid w:val="35CB6C60"/>
    <w:rsid w:val="35DB2724"/>
    <w:rsid w:val="36182CCE"/>
    <w:rsid w:val="369F652B"/>
    <w:rsid w:val="36A84B2D"/>
    <w:rsid w:val="36CD4A57"/>
    <w:rsid w:val="372373FD"/>
    <w:rsid w:val="372A0EC1"/>
    <w:rsid w:val="379E412B"/>
    <w:rsid w:val="383111BD"/>
    <w:rsid w:val="383F3951"/>
    <w:rsid w:val="38834E62"/>
    <w:rsid w:val="394F19F1"/>
    <w:rsid w:val="396F4827"/>
    <w:rsid w:val="39A40441"/>
    <w:rsid w:val="39E16E91"/>
    <w:rsid w:val="3A126B4C"/>
    <w:rsid w:val="3A9B3098"/>
    <w:rsid w:val="3AFE6CE8"/>
    <w:rsid w:val="3B364EC9"/>
    <w:rsid w:val="3B48028E"/>
    <w:rsid w:val="3C0B6F82"/>
    <w:rsid w:val="3C19409C"/>
    <w:rsid w:val="3C56386F"/>
    <w:rsid w:val="3C7205EF"/>
    <w:rsid w:val="3DE54E71"/>
    <w:rsid w:val="3E0C362F"/>
    <w:rsid w:val="3E2652F3"/>
    <w:rsid w:val="3E8E331B"/>
    <w:rsid w:val="3EA46F78"/>
    <w:rsid w:val="3EAE2139"/>
    <w:rsid w:val="3F173DAA"/>
    <w:rsid w:val="3F4927F2"/>
    <w:rsid w:val="3F7B1BBF"/>
    <w:rsid w:val="3F8C32D0"/>
    <w:rsid w:val="40233495"/>
    <w:rsid w:val="406B5AB2"/>
    <w:rsid w:val="409F5267"/>
    <w:rsid w:val="40C9143F"/>
    <w:rsid w:val="40E760D3"/>
    <w:rsid w:val="411D4D7B"/>
    <w:rsid w:val="412279EF"/>
    <w:rsid w:val="41527497"/>
    <w:rsid w:val="41663976"/>
    <w:rsid w:val="424833E0"/>
    <w:rsid w:val="42FC3024"/>
    <w:rsid w:val="435C3771"/>
    <w:rsid w:val="439B7564"/>
    <w:rsid w:val="43D11C2B"/>
    <w:rsid w:val="43E12C1B"/>
    <w:rsid w:val="43EF5FEF"/>
    <w:rsid w:val="440A6753"/>
    <w:rsid w:val="44625C63"/>
    <w:rsid w:val="448306FE"/>
    <w:rsid w:val="44A01972"/>
    <w:rsid w:val="44A069A6"/>
    <w:rsid w:val="463C1DC1"/>
    <w:rsid w:val="46784476"/>
    <w:rsid w:val="46A87E84"/>
    <w:rsid w:val="46F853F7"/>
    <w:rsid w:val="473A7115"/>
    <w:rsid w:val="47803656"/>
    <w:rsid w:val="47A74626"/>
    <w:rsid w:val="47F42563"/>
    <w:rsid w:val="49530B26"/>
    <w:rsid w:val="49D36717"/>
    <w:rsid w:val="49F33F8B"/>
    <w:rsid w:val="4A4175EA"/>
    <w:rsid w:val="4B5433F0"/>
    <w:rsid w:val="4BD828E8"/>
    <w:rsid w:val="4BD90E13"/>
    <w:rsid w:val="4BFE2547"/>
    <w:rsid w:val="4C1D3906"/>
    <w:rsid w:val="4C4E3CEB"/>
    <w:rsid w:val="4C657570"/>
    <w:rsid w:val="4CC87CD9"/>
    <w:rsid w:val="4EC535D1"/>
    <w:rsid w:val="4EFB2A2A"/>
    <w:rsid w:val="4F364010"/>
    <w:rsid w:val="4F4A7F91"/>
    <w:rsid w:val="4F804BDD"/>
    <w:rsid w:val="4FB866B1"/>
    <w:rsid w:val="4FC152C1"/>
    <w:rsid w:val="500D2F81"/>
    <w:rsid w:val="503C40D4"/>
    <w:rsid w:val="50BE2ED4"/>
    <w:rsid w:val="50C20A93"/>
    <w:rsid w:val="50CD3BF7"/>
    <w:rsid w:val="50ED4BDE"/>
    <w:rsid w:val="51175009"/>
    <w:rsid w:val="514E6747"/>
    <w:rsid w:val="51615FAB"/>
    <w:rsid w:val="51875B74"/>
    <w:rsid w:val="519E3FC5"/>
    <w:rsid w:val="51CE07B4"/>
    <w:rsid w:val="521E3B92"/>
    <w:rsid w:val="521F3ED6"/>
    <w:rsid w:val="52AC068A"/>
    <w:rsid w:val="52C179D7"/>
    <w:rsid w:val="530E7058"/>
    <w:rsid w:val="53214FA3"/>
    <w:rsid w:val="539E4FD5"/>
    <w:rsid w:val="53C74EC5"/>
    <w:rsid w:val="54241928"/>
    <w:rsid w:val="54BB7989"/>
    <w:rsid w:val="54CD7558"/>
    <w:rsid w:val="55114746"/>
    <w:rsid w:val="55733B88"/>
    <w:rsid w:val="55990C6B"/>
    <w:rsid w:val="55AA274D"/>
    <w:rsid w:val="55C57274"/>
    <w:rsid w:val="55E82DD9"/>
    <w:rsid w:val="560E0651"/>
    <w:rsid w:val="567517EF"/>
    <w:rsid w:val="568F3256"/>
    <w:rsid w:val="56BD7552"/>
    <w:rsid w:val="56DD4E2C"/>
    <w:rsid w:val="572E39B8"/>
    <w:rsid w:val="57617C88"/>
    <w:rsid w:val="57AA5AF7"/>
    <w:rsid w:val="58071006"/>
    <w:rsid w:val="58844EE0"/>
    <w:rsid w:val="58A83D6B"/>
    <w:rsid w:val="590F3946"/>
    <w:rsid w:val="5A1A6DB8"/>
    <w:rsid w:val="5A38678F"/>
    <w:rsid w:val="5AD840A5"/>
    <w:rsid w:val="5AFF3191"/>
    <w:rsid w:val="5B0B1C7E"/>
    <w:rsid w:val="5B3442DE"/>
    <w:rsid w:val="5BD5111E"/>
    <w:rsid w:val="5BE51C80"/>
    <w:rsid w:val="5C21564E"/>
    <w:rsid w:val="5C6912C5"/>
    <w:rsid w:val="5CD77DE8"/>
    <w:rsid w:val="5D835F37"/>
    <w:rsid w:val="5E090F69"/>
    <w:rsid w:val="5E123978"/>
    <w:rsid w:val="5E3419DF"/>
    <w:rsid w:val="5E556A54"/>
    <w:rsid w:val="5F152548"/>
    <w:rsid w:val="60243D85"/>
    <w:rsid w:val="60360090"/>
    <w:rsid w:val="61CB6666"/>
    <w:rsid w:val="61D77908"/>
    <w:rsid w:val="62131136"/>
    <w:rsid w:val="621D4E20"/>
    <w:rsid w:val="629D0538"/>
    <w:rsid w:val="62B4265F"/>
    <w:rsid w:val="630070E2"/>
    <w:rsid w:val="632114D9"/>
    <w:rsid w:val="63282157"/>
    <w:rsid w:val="632C6E23"/>
    <w:rsid w:val="64391CE9"/>
    <w:rsid w:val="64CE68A9"/>
    <w:rsid w:val="65C7388C"/>
    <w:rsid w:val="66374276"/>
    <w:rsid w:val="67647CA1"/>
    <w:rsid w:val="677573AE"/>
    <w:rsid w:val="678915F8"/>
    <w:rsid w:val="67E20E49"/>
    <w:rsid w:val="685769C9"/>
    <w:rsid w:val="68577428"/>
    <w:rsid w:val="685A65AE"/>
    <w:rsid w:val="685E5E3D"/>
    <w:rsid w:val="687F1555"/>
    <w:rsid w:val="699E067C"/>
    <w:rsid w:val="6A261209"/>
    <w:rsid w:val="6A727E3A"/>
    <w:rsid w:val="6A8D171F"/>
    <w:rsid w:val="6AB64782"/>
    <w:rsid w:val="6AC95D0A"/>
    <w:rsid w:val="6B32127C"/>
    <w:rsid w:val="6BAB65F5"/>
    <w:rsid w:val="6BFA1BD6"/>
    <w:rsid w:val="6C292A3B"/>
    <w:rsid w:val="6D0E2933"/>
    <w:rsid w:val="6DE739C4"/>
    <w:rsid w:val="6E303A0A"/>
    <w:rsid w:val="6E344C52"/>
    <w:rsid w:val="6E39645E"/>
    <w:rsid w:val="6EA2576B"/>
    <w:rsid w:val="6F055B62"/>
    <w:rsid w:val="6F4E53F6"/>
    <w:rsid w:val="6F6336EA"/>
    <w:rsid w:val="6F812238"/>
    <w:rsid w:val="6FB55A58"/>
    <w:rsid w:val="6FDE7840"/>
    <w:rsid w:val="7006566E"/>
    <w:rsid w:val="7019311C"/>
    <w:rsid w:val="70EE2EBA"/>
    <w:rsid w:val="712C309C"/>
    <w:rsid w:val="71471461"/>
    <w:rsid w:val="71B26F56"/>
    <w:rsid w:val="73330B40"/>
    <w:rsid w:val="73741155"/>
    <w:rsid w:val="73E3375F"/>
    <w:rsid w:val="73F745C7"/>
    <w:rsid w:val="74B001DD"/>
    <w:rsid w:val="759B41ED"/>
    <w:rsid w:val="75FF0944"/>
    <w:rsid w:val="76535600"/>
    <w:rsid w:val="768C069C"/>
    <w:rsid w:val="76955464"/>
    <w:rsid w:val="76C70A1D"/>
    <w:rsid w:val="76DD650A"/>
    <w:rsid w:val="7719553B"/>
    <w:rsid w:val="7733035F"/>
    <w:rsid w:val="77494B22"/>
    <w:rsid w:val="789348B4"/>
    <w:rsid w:val="78BB4852"/>
    <w:rsid w:val="78BE0C78"/>
    <w:rsid w:val="78E419E0"/>
    <w:rsid w:val="79190B05"/>
    <w:rsid w:val="79436A16"/>
    <w:rsid w:val="795A2A62"/>
    <w:rsid w:val="7A607970"/>
    <w:rsid w:val="7A931B46"/>
    <w:rsid w:val="7AB21D6F"/>
    <w:rsid w:val="7ADE3F91"/>
    <w:rsid w:val="7B4A7734"/>
    <w:rsid w:val="7B4C00F0"/>
    <w:rsid w:val="7B721930"/>
    <w:rsid w:val="7B782AF9"/>
    <w:rsid w:val="7B957777"/>
    <w:rsid w:val="7C045E3D"/>
    <w:rsid w:val="7DFA32D6"/>
    <w:rsid w:val="7E0E6118"/>
    <w:rsid w:val="7EB76B30"/>
    <w:rsid w:val="7F0C4872"/>
    <w:rsid w:val="7F7E0BEA"/>
    <w:rsid w:val="7FC370A8"/>
    <w:rsid w:val="7FEA3CC3"/>
    <w:rsid w:val="EDBB5C68"/>
    <w:rsid w:val="FFFD0E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adjustRightInd w:val="0"/>
      <w:snapToGrid w:val="0"/>
      <w:jc w:val="center"/>
      <w:outlineLvl w:val="0"/>
    </w:pPr>
    <w:rPr>
      <w:rFonts w:ascii="方正黑体_GBK" w:eastAsia="方正黑体_GBK" w:cs="Times New Roman"/>
      <w:bCs/>
      <w:kern w:val="44"/>
      <w:szCs w:val="32"/>
    </w:rPr>
  </w:style>
  <w:style w:type="paragraph" w:styleId="7">
    <w:name w:val="heading 2"/>
    <w:basedOn w:val="1"/>
    <w:next w:val="1"/>
    <w:qFormat/>
    <w:uiPriority w:val="0"/>
    <w:pPr>
      <w:keepNext/>
      <w:keepLines/>
      <w:adjustRightInd w:val="0"/>
      <w:snapToGrid w:val="0"/>
      <w:jc w:val="center"/>
      <w:outlineLvl w:val="1"/>
    </w:pPr>
    <w:rPr>
      <w:rFonts w:eastAsia="方正楷体_GBK" w:cs="Times New Roman"/>
      <w:b/>
      <w:bCs/>
      <w:szCs w:val="30"/>
    </w:rPr>
  </w:style>
  <w:style w:type="paragraph" w:styleId="8">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34"/>
    <w:unhideWhenUsed/>
    <w:qFormat/>
    <w:uiPriority w:val="0"/>
    <w:pPr>
      <w:ind w:firstLine="420" w:firstLineChars="200"/>
    </w:pPr>
  </w:style>
  <w:style w:type="paragraph" w:styleId="3">
    <w:name w:val="Body Text Indent"/>
    <w:basedOn w:val="1"/>
    <w:next w:val="1"/>
    <w:semiHidden/>
    <w:unhideWhenUsed/>
    <w:qFormat/>
    <w:uiPriority w:val="99"/>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4"/>
    <w:semiHidden/>
    <w:unhideWhenUsed/>
    <w:qFormat/>
    <w:uiPriority w:val="99"/>
    <w:pPr>
      <w:spacing w:after="120"/>
    </w:pPr>
  </w:style>
  <w:style w:type="paragraph" w:styleId="9">
    <w:name w:val="List Number"/>
    <w:basedOn w:val="1"/>
    <w:next w:val="5"/>
    <w:qFormat/>
    <w:uiPriority w:val="0"/>
    <w:pPr>
      <w:numPr>
        <w:ilvl w:val="0"/>
        <w:numId w:val="1"/>
      </w:numPr>
    </w:pPr>
  </w:style>
  <w:style w:type="paragraph" w:styleId="10">
    <w:name w:val="Normal Indent"/>
    <w:basedOn w:val="1"/>
    <w:qFormat/>
    <w:uiPriority w:val="0"/>
    <w:pPr>
      <w:ind w:firstLine="420"/>
    </w:pPr>
    <w:rPr>
      <w:szCs w:val="21"/>
    </w:rPr>
  </w:style>
  <w:style w:type="paragraph" w:styleId="11">
    <w:name w:val="caption"/>
    <w:basedOn w:val="1"/>
    <w:next w:val="1"/>
    <w:qFormat/>
    <w:uiPriority w:val="35"/>
    <w:pPr>
      <w:widowControl/>
      <w:jc w:val="left"/>
    </w:pPr>
    <w:rPr>
      <w:rFonts w:ascii="等线 Light" w:hAnsi="等线 Light" w:eastAsia="黑体" w:cs="Times New Roman"/>
      <w:sz w:val="20"/>
      <w:szCs w:val="20"/>
    </w:rPr>
  </w:style>
  <w:style w:type="paragraph" w:styleId="12">
    <w:name w:val="toc 3"/>
    <w:basedOn w:val="1"/>
    <w:next w:val="1"/>
    <w:qFormat/>
    <w:uiPriority w:val="39"/>
    <w:pPr>
      <w:ind w:left="840" w:leftChars="400"/>
    </w:pPr>
  </w:style>
  <w:style w:type="paragraph" w:styleId="13">
    <w:name w:val="Balloon Text"/>
    <w:basedOn w:val="1"/>
    <w:link w:val="3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9">
    <w:name w:val="Title"/>
    <w:basedOn w:val="1"/>
    <w:next w:val="1"/>
    <w:link w:val="35"/>
    <w:qFormat/>
    <w:uiPriority w:val="0"/>
    <w:pPr>
      <w:spacing w:before="240" w:after="60"/>
      <w:jc w:val="center"/>
      <w:outlineLvl w:val="0"/>
    </w:pPr>
    <w:rPr>
      <w:rFonts w:asciiTheme="majorHAnsi" w:hAnsiTheme="majorHAnsi" w:eastAsiaTheme="majorEastAsia" w:cstheme="majorBidi"/>
      <w:b/>
      <w:bCs/>
      <w:sz w:val="32"/>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qFormat/>
    <w:uiPriority w:val="99"/>
    <w:rPr>
      <w:rFonts w:cs="Times New Roman"/>
    </w:rPr>
  </w:style>
  <w:style w:type="character" w:styleId="25">
    <w:name w:val="Hyperlink"/>
    <w:basedOn w:val="22"/>
    <w:unhideWhenUsed/>
    <w:qFormat/>
    <w:uiPriority w:val="99"/>
    <w:rPr>
      <w:color w:val="0563C1" w:themeColor="hyperlink"/>
      <w:u w:val="single"/>
      <w14:textFill>
        <w14:solidFill>
          <w14:schemeClr w14:val="hlink"/>
        </w14:solidFill>
      </w14:textFill>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9">
    <w:name w:val="标题2 Char"/>
    <w:link w:val="30"/>
    <w:qFormat/>
    <w:uiPriority w:val="0"/>
    <w:rPr>
      <w:rFonts w:eastAsia="方正楷体_GBK"/>
      <w:snapToGrid w:val="0"/>
      <w:sz w:val="32"/>
    </w:rPr>
  </w:style>
  <w:style w:type="paragraph" w:customStyle="1" w:styleId="30">
    <w:name w:val="标题2"/>
    <w:basedOn w:val="1"/>
    <w:next w:val="1"/>
    <w:link w:val="29"/>
    <w:qFormat/>
    <w:uiPriority w:val="0"/>
    <w:pPr>
      <w:autoSpaceDE w:val="0"/>
      <w:autoSpaceDN w:val="0"/>
      <w:snapToGrid w:val="0"/>
      <w:spacing w:line="590" w:lineRule="atLeast"/>
      <w:jc w:val="center"/>
    </w:pPr>
    <w:rPr>
      <w:rFonts w:eastAsia="方正楷体_GBK"/>
      <w:snapToGrid w:val="0"/>
      <w:sz w:val="32"/>
    </w:rPr>
  </w:style>
  <w:style w:type="character" w:customStyle="1" w:styleId="31">
    <w:name w:val="ql-author-8185946"/>
    <w:basedOn w:val="22"/>
    <w:qFormat/>
    <w:uiPriority w:val="0"/>
  </w:style>
  <w:style w:type="character" w:customStyle="1" w:styleId="32">
    <w:name w:val="批注框文本 字符"/>
    <w:basedOn w:val="22"/>
    <w:link w:val="13"/>
    <w:qFormat/>
    <w:uiPriority w:val="0"/>
    <w:rPr>
      <w:kern w:val="2"/>
      <w:sz w:val="18"/>
      <w:szCs w:val="18"/>
    </w:rPr>
  </w:style>
  <w:style w:type="paragraph" w:styleId="33">
    <w:name w:val="List Paragraph"/>
    <w:basedOn w:val="1"/>
    <w:unhideWhenUsed/>
    <w:qFormat/>
    <w:uiPriority w:val="99"/>
    <w:pPr>
      <w:ind w:firstLine="420" w:firstLineChars="200"/>
    </w:pPr>
  </w:style>
  <w:style w:type="character" w:customStyle="1" w:styleId="34">
    <w:name w:val="正文首行缩进 2 字符"/>
    <w:basedOn w:val="22"/>
    <w:link w:val="2"/>
    <w:qFormat/>
    <w:uiPriority w:val="99"/>
    <w:rPr>
      <w:rFonts w:asciiTheme="minorHAnsi" w:hAnsiTheme="minorHAnsi" w:eastAsiaTheme="minorEastAsia" w:cstheme="minorBidi"/>
      <w:kern w:val="2"/>
      <w:sz w:val="21"/>
      <w:szCs w:val="24"/>
    </w:rPr>
  </w:style>
  <w:style w:type="character" w:customStyle="1" w:styleId="35">
    <w:name w:val="标题 字符"/>
    <w:basedOn w:val="22"/>
    <w:link w:val="19"/>
    <w:qFormat/>
    <w:uiPriority w:val="0"/>
    <w:rPr>
      <w:rFonts w:asciiTheme="majorHAnsi" w:hAnsiTheme="majorHAnsi" w:eastAsiaTheme="majorEastAsia" w:cstheme="majorBidi"/>
      <w:b/>
      <w:bCs/>
      <w:kern w:val="2"/>
      <w:sz w:val="32"/>
      <w:szCs w:val="32"/>
    </w:rPr>
  </w:style>
  <w:style w:type="character" w:customStyle="1" w:styleId="36">
    <w:name w:val="标题 3 字符"/>
    <w:basedOn w:val="22"/>
    <w:link w:val="8"/>
    <w:qFormat/>
    <w:uiPriority w:val="9"/>
    <w:rPr>
      <w:rFonts w:asciiTheme="minorHAnsi" w:hAnsiTheme="minorHAnsi" w:eastAsiaTheme="minorEastAsia" w:cstheme="minorBidi"/>
      <w:b/>
      <w:bCs/>
      <w:kern w:val="2"/>
      <w:sz w:val="32"/>
      <w:szCs w:val="32"/>
    </w:rPr>
  </w:style>
  <w:style w:type="paragraph" w:customStyle="1" w:styleId="37">
    <w:name w:val="TOC 标题1"/>
    <w:basedOn w:val="6"/>
    <w:next w:val="1"/>
    <w:unhideWhenUsed/>
    <w:qFormat/>
    <w:uiPriority w:val="39"/>
    <w:pPr>
      <w:widowControl/>
      <w:adjustRightInd/>
      <w:snapToGrid/>
      <w:spacing w:before="240" w:line="259" w:lineRule="auto"/>
      <w:jc w:val="left"/>
      <w:outlineLvl w:val="9"/>
    </w:pPr>
    <w:rPr>
      <w:rFonts w:asciiTheme="majorHAnsi" w:hAnsiTheme="majorHAnsi" w:eastAsiaTheme="majorEastAsia" w:cstheme="majorBidi"/>
      <w:bCs w:val="0"/>
      <w:color w:val="2E75B6" w:themeColor="accent1" w:themeShade="BF"/>
      <w:kern w:val="0"/>
      <w:sz w:val="32"/>
    </w:rPr>
  </w:style>
  <w:style w:type="character" w:customStyle="1" w:styleId="38">
    <w:name w:val="NormalCharacter"/>
    <w:semiHidden/>
    <w:qFormat/>
    <w:uiPriority w:val="0"/>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0">
    <w:name w:val="bjh-p"/>
    <w:basedOn w:val="22"/>
    <w:qFormat/>
    <w:uiPriority w:val="0"/>
  </w:style>
  <w:style w:type="paragraph" w:customStyle="1" w:styleId="41">
    <w:name w:val="标题3"/>
    <w:basedOn w:val="1"/>
    <w:next w:val="1"/>
    <w:qFormat/>
    <w:uiPriority w:val="0"/>
    <w:rPr>
      <w:rFonts w:eastAsia="方正黑体_GBK"/>
    </w:rPr>
  </w:style>
  <w:style w:type="paragraph" w:customStyle="1" w:styleId="42">
    <w:name w:val="F1"/>
    <w:basedOn w:val="1"/>
    <w:qFormat/>
    <w:uiPriority w:val="0"/>
    <w:pPr>
      <w:ind w:left="624" w:hanging="624"/>
      <w:jc w:val="left"/>
      <w:outlineLvl w:val="1"/>
    </w:pPr>
    <w:rPr>
      <w:rFonts w:ascii="宋体" w:hAnsi="宋体" w:eastAsia="黑体" w:cs="Times New Roman"/>
      <w:b/>
      <w:sz w:val="32"/>
      <w:szCs w:val="44"/>
    </w:rPr>
  </w:style>
  <w:style w:type="paragraph" w:customStyle="1" w:styleId="43">
    <w:name w:val="F2"/>
    <w:basedOn w:val="1"/>
    <w:qFormat/>
    <w:uiPriority w:val="0"/>
    <w:pPr>
      <w:widowControl/>
      <w:adjustRightInd w:val="0"/>
      <w:snapToGrid w:val="0"/>
      <w:spacing w:line="580" w:lineRule="exact"/>
      <w:jc w:val="left"/>
    </w:pPr>
    <w:rPr>
      <w:rFonts w:ascii="黑体" w:hAnsi="黑体" w:eastAsia="楷体"/>
      <w:b/>
      <w:bCs/>
      <w:sz w:val="32"/>
      <w:szCs w:val="32"/>
    </w:rPr>
  </w:style>
  <w:style w:type="paragraph" w:customStyle="1" w:styleId="44">
    <w:name w:val="表标题"/>
    <w:basedOn w:val="11"/>
    <w:qFormat/>
    <w:uiPriority w:val="0"/>
    <w:pPr>
      <w:keepNext/>
      <w:widowControl w:val="0"/>
      <w:jc w:val="center"/>
    </w:pPr>
    <w:rPr>
      <w:rFonts w:ascii="仿宋" w:hAnsi="仿宋" w:eastAsia="仿宋"/>
      <w:sz w:val="30"/>
      <w:szCs w:val="30"/>
    </w:rPr>
  </w:style>
  <w:style w:type="paragraph" w:customStyle="1" w:styleId="45">
    <w:name w:val="TOC Heading"/>
    <w:basedOn w:val="6"/>
    <w:next w:val="1"/>
    <w:unhideWhenUsed/>
    <w:qFormat/>
    <w:uiPriority w:val="39"/>
    <w:pPr>
      <w:widowControl/>
      <w:adjustRightInd/>
      <w:snapToGrid/>
      <w:spacing w:before="240" w:line="259" w:lineRule="auto"/>
      <w:jc w:val="left"/>
      <w:outlineLvl w:val="9"/>
    </w:pPr>
    <w:rPr>
      <w:rFonts w:asciiTheme="majorHAnsi" w:hAnsiTheme="majorHAnsi" w:eastAsiaTheme="majorEastAsia" w:cstheme="majorBidi"/>
      <w:bCs w:val="0"/>
      <w:color w:val="2E75B6" w:themeColor="accent1" w:themeShade="BF"/>
      <w:kern w:val="0"/>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50EF0-A17F-4AB3-B4AD-A58906A483B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4405</Words>
  <Characters>25113</Characters>
  <Lines>209</Lines>
  <Paragraphs>58</Paragraphs>
  <TotalTime>3</TotalTime>
  <ScaleCrop>false</ScaleCrop>
  <LinksUpToDate>false</LinksUpToDate>
  <CharactersWithSpaces>29460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2021-10-13T07:32:00Z</dcterms:created>
  <dc:creator>lenovo</dc:creator>
  <cp:lastModifiedBy>WPS_1602310170</cp:lastModifiedBy>
  <cp:lastPrinted>2021-01-08T09:14:00Z</cp:lastPrinted>
  <dcterms:modified xsi:type="dcterms:W3CDTF">2021-12-24T02:02:29Z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226790454_btnclosed</vt:lpwstr>
  </property>
  <property fmtid="{D5CDD505-2E9C-101B-9397-08002B2CF9AE}" pid="4" name="ICV">
    <vt:lpwstr>CC32A9D823EF42ECBD6FAB86CA84424C</vt:lpwstr>
  </property>
</Properties>
</file>